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69" w:type="dxa"/>
        <w:tblInd w:w="0" w:type="dxa"/>
        <w:tblLayout w:type="fixed"/>
        <w:tblCellMar>
          <w:top w:w="0" w:type="dxa"/>
          <w:left w:w="108" w:type="dxa"/>
          <w:bottom w:w="0" w:type="dxa"/>
          <w:right w:w="108" w:type="dxa"/>
        </w:tblCellMar>
      </w:tblPr>
      <w:tblGrid>
        <w:gridCol w:w="1203"/>
        <w:gridCol w:w="1383"/>
        <w:gridCol w:w="3255"/>
        <w:gridCol w:w="1584"/>
        <w:gridCol w:w="2244"/>
      </w:tblGrid>
      <w:tr>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325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58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cs="宋体"/>
                <w:lang w:eastAsia="zh-CN"/>
              </w:rPr>
              <w:t>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tblPrEx>
          <w:tblCellMar>
            <w:top w:w="0" w:type="dxa"/>
            <w:left w:w="108" w:type="dxa"/>
            <w:bottom w:w="0" w:type="dxa"/>
            <w:right w:w="108" w:type="dxa"/>
          </w:tblCellMar>
        </w:tblPrEx>
        <w:trPr>
          <w:trHeight w:val="1465"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WYYYCGC-2023008</w:t>
            </w:r>
            <w:r>
              <w:rPr>
                <w:rFonts w:hint="eastAsia" w:asciiTheme="minorEastAsia" w:hAnsiTheme="minorEastAsia" w:eastAsiaTheme="minorEastAsia" w:cstheme="minorEastAsia"/>
                <w:sz w:val="18"/>
                <w:szCs w:val="18"/>
                <w:lang w:val="en-US" w:eastAsia="zh-CN"/>
              </w:rPr>
              <w:t>/01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ascii="宋体" w:hAnsi="宋体" w:cs="宋体"/>
                <w:highlight w:val="none"/>
                <w:lang w:val="en-US" w:eastAsia="zh-CN"/>
              </w:rPr>
              <w:t>组织固定液</w:t>
            </w:r>
          </w:p>
        </w:tc>
        <w:tc>
          <w:tcPr>
            <w:tcW w:w="3255" w:type="dxa"/>
            <w:tcBorders>
              <w:top w:val="single" w:color="auto" w:sz="4" w:space="0"/>
              <w:left w:val="nil"/>
              <w:bottom w:val="single" w:color="auto" w:sz="4" w:space="0"/>
              <w:right w:val="single" w:color="auto" w:sz="4" w:space="0"/>
            </w:tcBorders>
            <w:noWrap/>
            <w:vAlign w:val="center"/>
          </w:tcPr>
          <w:p>
            <w:pPr>
              <w:spacing w:line="120" w:lineRule="auto"/>
              <w:jc w:val="left"/>
            </w:pPr>
            <w:r>
              <w:rPr>
                <w:rFonts w:hint="eastAsia"/>
              </w:rPr>
              <w:t>结构组成：10%中性缓冲福尔马林；</w:t>
            </w:r>
            <w:r>
              <w:t xml:space="preserve"> </w:t>
            </w:r>
          </w:p>
          <w:p>
            <w:pPr>
              <w:spacing w:line="120" w:lineRule="auto"/>
              <w:jc w:val="left"/>
              <w:rPr>
                <w:rFonts w:hint="eastAsia" w:ascii="Times New Roman" w:hAnsi="Times New Roman" w:eastAsia="宋体" w:cs="Times New Roman"/>
                <w:b w:val="0"/>
                <w:snapToGrid/>
                <w:kern w:val="2"/>
                <w:sz w:val="21"/>
                <w:szCs w:val="24"/>
                <w:lang w:val="en-US" w:eastAsia="zh-CN" w:bidi="ar-SA"/>
              </w:rPr>
            </w:pPr>
            <w:r>
              <w:rPr>
                <w:rFonts w:hint="eastAsia" w:eastAsia="宋体"/>
                <w:b w:val="0"/>
                <w:kern w:val="2"/>
                <w:sz w:val="21"/>
              </w:rPr>
              <w:t>适用范围：用于新鲜组织样本的固定</w:t>
            </w:r>
          </w:p>
        </w:tc>
        <w:tc>
          <w:tcPr>
            <w:tcW w:w="1584" w:type="dxa"/>
            <w:tcBorders>
              <w:top w:val="single" w:color="auto" w:sz="4" w:space="0"/>
              <w:left w:val="nil"/>
              <w:bottom w:val="single" w:color="auto" w:sz="4" w:space="0"/>
              <w:right w:val="single" w:color="auto" w:sz="4" w:space="0"/>
            </w:tcBorders>
            <w:noWrap/>
            <w:vAlign w:val="center"/>
          </w:tcPr>
          <w:p>
            <w:pPr>
              <w:jc w:val="center"/>
              <w:rPr>
                <w:rFonts w:hint="eastAsia"/>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1825"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WYYYCGC-2023008</w:t>
            </w:r>
            <w:r>
              <w:rPr>
                <w:rFonts w:hint="eastAsia" w:asciiTheme="minorEastAsia" w:hAnsiTheme="minorEastAsia" w:eastAsiaTheme="minorEastAsia" w:cstheme="minorEastAsia"/>
                <w:sz w:val="18"/>
                <w:szCs w:val="18"/>
                <w:lang w:val="en-US" w:eastAsia="zh-CN"/>
              </w:rPr>
              <w:t>/02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ascii="宋体" w:hAnsi="宋体" w:cs="宋体"/>
                <w:highlight w:val="none"/>
                <w:lang w:val="en-US" w:eastAsia="zh-CN"/>
              </w:rPr>
              <w:t>石蜡</w:t>
            </w:r>
          </w:p>
        </w:tc>
        <w:tc>
          <w:tcPr>
            <w:tcW w:w="3255" w:type="dxa"/>
            <w:tcBorders>
              <w:top w:val="single" w:color="auto" w:sz="4" w:space="0"/>
              <w:left w:val="nil"/>
              <w:bottom w:val="single" w:color="auto" w:sz="4" w:space="0"/>
              <w:right w:val="single" w:color="auto" w:sz="4" w:space="0"/>
            </w:tcBorders>
            <w:noWrap/>
            <w:vAlign w:val="center"/>
          </w:tcPr>
          <w:p>
            <w:pPr>
              <w:pStyle w:val="2"/>
              <w:jc w:val="left"/>
              <w:rPr>
                <w:rFonts w:hint="default" w:ascii="Times New Roman" w:hAnsi="Times New Roman" w:eastAsia="宋体" w:cs="Times New Roman"/>
                <w:b w:val="0"/>
                <w:snapToGrid/>
                <w:kern w:val="2"/>
                <w:sz w:val="21"/>
                <w:szCs w:val="24"/>
                <w:lang w:val="en-US" w:eastAsia="zh-CN" w:bidi="ar-SA"/>
              </w:rPr>
            </w:pPr>
            <w:r>
              <w:rPr>
                <w:rFonts w:hint="eastAsia" w:ascii="Times New Roman" w:hAnsi="Times New Roman" w:eastAsia="宋体" w:cs="Times New Roman"/>
                <w:b w:val="0"/>
                <w:snapToGrid/>
                <w:kern w:val="2"/>
                <w:sz w:val="21"/>
                <w:szCs w:val="24"/>
                <w:lang w:val="en-US" w:eastAsia="zh-CN" w:bidi="ar-SA"/>
              </w:rPr>
              <w:t>适用范围：</w:t>
            </w:r>
            <w:r>
              <w:rPr>
                <w:rFonts w:hint="eastAsia" w:eastAsia="宋体" w:cs="Times New Roman"/>
                <w:b w:val="0"/>
                <w:snapToGrid/>
                <w:kern w:val="2"/>
                <w:sz w:val="21"/>
                <w:szCs w:val="24"/>
                <w:lang w:val="en-US" w:eastAsia="zh-CN" w:bidi="ar-SA"/>
              </w:rPr>
              <w:t>应用于病理组织切片；</w:t>
            </w:r>
            <w:r>
              <w:rPr>
                <w:rFonts w:hint="eastAsia" w:ascii="Times New Roman" w:hAnsi="Times New Roman" w:eastAsia="宋体" w:cs="Times New Roman"/>
                <w:b w:val="0"/>
                <w:snapToGrid/>
                <w:kern w:val="2"/>
                <w:sz w:val="21"/>
                <w:szCs w:val="24"/>
                <w:lang w:val="en-US" w:eastAsia="zh-CN" w:bidi="ar-SA"/>
              </w:rPr>
              <w:t>颗粒状</w:t>
            </w:r>
            <w:r>
              <w:rPr>
                <w:rFonts w:hint="eastAsia" w:eastAsia="宋体" w:cs="Times New Roman"/>
                <w:b w:val="0"/>
                <w:snapToGrid/>
                <w:kern w:val="2"/>
                <w:sz w:val="21"/>
                <w:szCs w:val="24"/>
                <w:lang w:val="en-US" w:eastAsia="zh-CN" w:bidi="ar-SA"/>
              </w:rPr>
              <w:t>；</w:t>
            </w:r>
            <w:r>
              <w:rPr>
                <w:rFonts w:hint="eastAsia" w:ascii="Times New Roman" w:hAnsi="Times New Roman" w:eastAsia="宋体" w:cs="Times New Roman"/>
                <w:b w:val="0"/>
                <w:snapToGrid/>
                <w:kern w:val="2"/>
                <w:sz w:val="21"/>
                <w:szCs w:val="24"/>
                <w:lang w:val="en-US" w:eastAsia="zh-CN" w:bidi="ar-SA"/>
              </w:rPr>
              <w:t>熔点：</w:t>
            </w:r>
            <w:r>
              <w:rPr>
                <w:rFonts w:hint="eastAsia" w:eastAsia="宋体" w:cs="Times New Roman"/>
                <w:b w:val="0"/>
                <w:snapToGrid/>
                <w:kern w:val="2"/>
                <w:sz w:val="21"/>
                <w:szCs w:val="24"/>
                <w:lang w:val="en-US" w:eastAsia="zh-CN" w:bidi="ar-SA"/>
              </w:rPr>
              <w:t>兼具</w:t>
            </w:r>
            <w:r>
              <w:rPr>
                <w:rFonts w:hint="eastAsia" w:ascii="Times New Roman" w:hAnsi="Times New Roman" w:eastAsia="宋体" w:cs="Times New Roman"/>
                <w:b w:val="0"/>
                <w:snapToGrid/>
                <w:kern w:val="2"/>
                <w:sz w:val="21"/>
                <w:szCs w:val="24"/>
                <w:lang w:val="en-US" w:eastAsia="zh-CN" w:bidi="ar-SA"/>
              </w:rPr>
              <w:t>56-58度与58-60度</w:t>
            </w:r>
            <w:r>
              <w:rPr>
                <w:rFonts w:hint="eastAsia" w:eastAsia="宋体" w:cs="Times New Roman"/>
                <w:b w:val="0"/>
                <w:snapToGrid/>
                <w:kern w:val="2"/>
                <w:sz w:val="21"/>
                <w:szCs w:val="24"/>
                <w:lang w:val="en-US" w:eastAsia="zh-CN" w:bidi="ar-SA"/>
              </w:rPr>
              <w:t>两种熔点</w:t>
            </w:r>
          </w:p>
        </w:tc>
        <w:tc>
          <w:tcPr>
            <w:tcW w:w="1584" w:type="dxa"/>
            <w:tcBorders>
              <w:top w:val="single" w:color="auto" w:sz="4" w:space="0"/>
              <w:left w:val="nil"/>
              <w:bottom w:val="single" w:color="auto" w:sz="4" w:space="0"/>
              <w:right w:val="single" w:color="auto" w:sz="4" w:space="0"/>
            </w:tcBorders>
            <w:noWrap/>
            <w:vAlign w:val="center"/>
          </w:tcPr>
          <w:p>
            <w:pPr>
              <w:jc w:val="center"/>
              <w:rPr>
                <w:rFonts w:hint="eastAsia"/>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1871"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WYYYCGC-2023008</w:t>
            </w:r>
            <w:r>
              <w:rPr>
                <w:rFonts w:hint="eastAsia" w:asciiTheme="minorEastAsia" w:hAnsiTheme="minorEastAsia" w:eastAsiaTheme="minorEastAsia" w:cstheme="minorEastAsia"/>
                <w:sz w:val="18"/>
                <w:szCs w:val="18"/>
                <w:lang w:val="en-US" w:eastAsia="zh-CN"/>
              </w:rPr>
              <w:t>/03</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ascii="宋体" w:hAnsi="宋体" w:cs="宋体"/>
                <w:highlight w:val="none"/>
                <w:lang w:val="en-US" w:eastAsia="zh-CN"/>
              </w:rPr>
              <w:t>人类BRAF基因V600E突变检测试剂盒</w:t>
            </w:r>
          </w:p>
        </w:tc>
        <w:tc>
          <w:tcPr>
            <w:tcW w:w="3255" w:type="dxa"/>
            <w:tcBorders>
              <w:top w:val="single" w:color="auto" w:sz="4" w:space="0"/>
              <w:left w:val="nil"/>
              <w:bottom w:val="single" w:color="auto" w:sz="4" w:space="0"/>
              <w:right w:val="single" w:color="auto" w:sz="4" w:space="0"/>
            </w:tcBorders>
            <w:noWrap/>
            <w:vAlign w:val="center"/>
          </w:tcPr>
          <w:p>
            <w:pPr>
              <w:pStyle w:val="2"/>
              <w:jc w:val="left"/>
              <w:rPr>
                <w:rFonts w:hint="eastAsia" w:ascii="Times New Roman" w:hAnsi="Times New Roman" w:eastAsia="宋体" w:cs="Times New Roman"/>
                <w:b w:val="0"/>
                <w:snapToGrid/>
                <w:kern w:val="2"/>
                <w:sz w:val="21"/>
                <w:szCs w:val="24"/>
                <w:lang w:val="en-US" w:eastAsia="zh-CN" w:bidi="ar-SA"/>
              </w:rPr>
            </w:pPr>
            <w:r>
              <w:rPr>
                <w:rFonts w:hint="eastAsia" w:ascii="Times New Roman" w:hAnsi="Times New Roman" w:eastAsia="宋体" w:cs="Times New Roman"/>
                <w:b w:val="0"/>
                <w:snapToGrid/>
                <w:kern w:val="2"/>
                <w:sz w:val="21"/>
                <w:szCs w:val="24"/>
                <w:lang w:val="en-US" w:eastAsia="zh-CN" w:bidi="ar-SA"/>
              </w:rPr>
              <w:t>适用范围：</w:t>
            </w:r>
            <w:r>
              <w:rPr>
                <w:rFonts w:hint="eastAsia" w:eastAsia="宋体"/>
                <w:b w:val="0"/>
                <w:kern w:val="2"/>
                <w:sz w:val="21"/>
              </w:rPr>
              <w:t>用于体外定性检测病理组织样本的DNA提取物中的BRAF基因V600E突变</w:t>
            </w:r>
          </w:p>
        </w:tc>
        <w:tc>
          <w:tcPr>
            <w:tcW w:w="1584" w:type="dxa"/>
            <w:tcBorders>
              <w:top w:val="single" w:color="auto" w:sz="4" w:space="0"/>
              <w:left w:val="nil"/>
              <w:bottom w:val="single" w:color="auto" w:sz="4" w:space="0"/>
              <w:right w:val="single" w:color="auto" w:sz="4" w:space="0"/>
            </w:tcBorders>
            <w:noWrap/>
            <w:vAlign w:val="center"/>
          </w:tcPr>
          <w:p>
            <w:pPr>
              <w:jc w:val="center"/>
              <w:rPr>
                <w:rFonts w:hint="eastAsia"/>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744"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WYYYCGC-2023008</w:t>
            </w:r>
            <w:r>
              <w:rPr>
                <w:rFonts w:hint="eastAsia" w:asciiTheme="minorEastAsia" w:hAnsiTheme="minorEastAsia" w:eastAsiaTheme="minorEastAsia" w:cstheme="minorEastAsia"/>
                <w:sz w:val="18"/>
                <w:szCs w:val="18"/>
                <w:lang w:val="en-US" w:eastAsia="zh-CN"/>
              </w:rPr>
              <w:t>/04</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ascii="宋体" w:hAnsi="宋体" w:cs="宋体"/>
                <w:highlight w:val="none"/>
                <w:lang w:val="en-US" w:eastAsia="zh-CN"/>
              </w:rPr>
              <w:t>5种突变基因检测试剂盒(荧光PCR法）</w:t>
            </w:r>
          </w:p>
        </w:tc>
        <w:tc>
          <w:tcPr>
            <w:tcW w:w="3255" w:type="dxa"/>
            <w:tcBorders>
              <w:top w:val="single" w:color="auto" w:sz="4" w:space="0"/>
              <w:left w:val="nil"/>
              <w:bottom w:val="single" w:color="auto" w:sz="4" w:space="0"/>
              <w:right w:val="single" w:color="auto" w:sz="4" w:space="0"/>
            </w:tcBorders>
            <w:noWrap/>
            <w:vAlign w:val="center"/>
          </w:tcPr>
          <w:p>
            <w:pPr>
              <w:pStyle w:val="2"/>
              <w:jc w:val="left"/>
              <w:rPr>
                <w:rFonts w:hint="eastAsia" w:ascii="Times New Roman" w:hAnsi="Times New Roman" w:eastAsia="宋体" w:cs="Times New Roman"/>
                <w:b w:val="0"/>
                <w:snapToGrid/>
                <w:kern w:val="2"/>
                <w:sz w:val="21"/>
                <w:szCs w:val="24"/>
                <w:lang w:val="en-US" w:eastAsia="zh-CN" w:bidi="ar-SA"/>
              </w:rPr>
            </w:pPr>
            <w:r>
              <w:rPr>
                <w:rFonts w:hint="eastAsia" w:ascii="Times New Roman" w:hAnsi="Times New Roman" w:eastAsia="宋体" w:cs="Times New Roman"/>
                <w:b w:val="0"/>
                <w:snapToGrid/>
                <w:kern w:val="2"/>
                <w:sz w:val="21"/>
                <w:szCs w:val="24"/>
                <w:lang w:val="en-US" w:eastAsia="zh-CN" w:bidi="ar-SA"/>
              </w:rPr>
              <w:t>适用范围：</w:t>
            </w:r>
            <w:r>
              <w:rPr>
                <w:rFonts w:hint="eastAsia" w:eastAsia="宋体"/>
                <w:b w:val="0"/>
                <w:kern w:val="2"/>
                <w:sz w:val="21"/>
              </w:rPr>
              <w:t>用于体外定性检测非小细胞癌（NSCLC）患者组织DNA/RNA样本中人类EGFR、ALK、ROS1、KRAS、BRAF突变基因</w:t>
            </w:r>
          </w:p>
        </w:tc>
        <w:tc>
          <w:tcPr>
            <w:tcW w:w="1584" w:type="dxa"/>
            <w:tcBorders>
              <w:top w:val="single" w:color="auto" w:sz="4" w:space="0"/>
              <w:left w:val="nil"/>
              <w:bottom w:val="single" w:color="auto" w:sz="4" w:space="0"/>
              <w:right w:val="single" w:color="auto" w:sz="4" w:space="0"/>
            </w:tcBorders>
            <w:noWrap/>
            <w:vAlign w:val="center"/>
          </w:tcPr>
          <w:p>
            <w:pPr>
              <w:jc w:val="center"/>
              <w:rPr>
                <w:rFonts w:hint="eastAsia"/>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242"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eastAsiaTheme="minorEastAsia" w:cstheme="minorEastAsia"/>
                <w:sz w:val="18"/>
                <w:szCs w:val="18"/>
              </w:rPr>
              <w:t>WYYYCGC-2023008</w:t>
            </w:r>
            <w:r>
              <w:rPr>
                <w:rFonts w:hint="eastAsia" w:asciiTheme="minorEastAsia" w:hAnsiTheme="minorEastAsia" w:eastAsiaTheme="minorEastAsia" w:cstheme="minorEastAsia"/>
                <w:sz w:val="18"/>
                <w:szCs w:val="18"/>
              </w:rPr>
              <w:t>/05</w:t>
            </w:r>
          </w:p>
        </w:tc>
        <w:tc>
          <w:tcPr>
            <w:tcW w:w="138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人类HER-2基因扩增检测试剂（FISH荧光原位杂交法）</w:t>
            </w:r>
          </w:p>
        </w:tc>
        <w:tc>
          <w:tcPr>
            <w:tcW w:w="3255" w:type="dxa"/>
            <w:tcBorders>
              <w:top w:val="single" w:color="auto" w:sz="4" w:space="0"/>
              <w:left w:val="nil"/>
              <w:bottom w:val="single" w:color="auto" w:sz="4" w:space="0"/>
              <w:right w:val="single" w:color="auto" w:sz="4" w:space="0"/>
            </w:tcBorders>
            <w:noWrap/>
            <w:vAlign w:val="center"/>
          </w:tcPr>
          <w:p>
            <w:pPr>
              <w:widowControl/>
              <w:jc w:val="left"/>
            </w:pPr>
            <w:r>
              <w:rPr>
                <w:rFonts w:hint="eastAsia"/>
              </w:rPr>
              <w:t>检测方法：荧光原位杂交法</w:t>
            </w:r>
          </w:p>
          <w:p>
            <w:pPr>
              <w:widowControl/>
              <w:jc w:val="left"/>
              <w:rPr>
                <w:rFonts w:hint="eastAsia" w:ascii="Times New Roman" w:hAnsi="Times New Roman" w:eastAsia="宋体" w:cs="Times New Roman"/>
                <w:kern w:val="2"/>
                <w:sz w:val="21"/>
                <w:szCs w:val="24"/>
                <w:lang w:val="en-US" w:eastAsia="zh-CN" w:bidi="ar-SA"/>
              </w:rPr>
            </w:pPr>
            <w:r>
              <w:rPr>
                <w:rFonts w:hint="eastAsia"/>
              </w:rPr>
              <w:t>适用范围：:适用于检测乳腺癌手术切除组织石蜡包埋标本HER2 基因检测</w:t>
            </w:r>
          </w:p>
        </w:tc>
        <w:tc>
          <w:tcPr>
            <w:tcW w:w="158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121"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eastAsiaTheme="minorEastAsia" w:cstheme="minorEastAsia"/>
                <w:sz w:val="18"/>
                <w:szCs w:val="18"/>
              </w:rPr>
              <w:t>WYYYCGC-2023008</w:t>
            </w:r>
            <w:r>
              <w:rPr>
                <w:rFonts w:hint="eastAsia" w:asciiTheme="minorEastAsia" w:hAnsiTheme="minorEastAsia" w:eastAsiaTheme="minorEastAsia" w:cstheme="minorEastAsia"/>
                <w:sz w:val="18"/>
                <w:szCs w:val="18"/>
              </w:rPr>
              <w:t>/06</w:t>
            </w:r>
          </w:p>
        </w:tc>
        <w:tc>
          <w:tcPr>
            <w:tcW w:w="138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微卫星不稳定（MSI）检测试剂盒</w:t>
            </w:r>
          </w:p>
        </w:tc>
        <w:tc>
          <w:tcPr>
            <w:tcW w:w="3255" w:type="dxa"/>
            <w:tcBorders>
              <w:top w:val="single" w:color="auto" w:sz="4" w:space="0"/>
              <w:left w:val="nil"/>
              <w:bottom w:val="single" w:color="auto" w:sz="4" w:space="0"/>
              <w:right w:val="single" w:color="auto" w:sz="4" w:space="0"/>
            </w:tcBorders>
            <w:noWrap/>
            <w:vAlign w:val="center"/>
          </w:tcPr>
          <w:p>
            <w:pPr>
              <w:widowControl/>
              <w:jc w:val="left"/>
            </w:pPr>
            <w:r>
              <w:rPr>
                <w:rFonts w:hint="eastAsia"/>
              </w:rPr>
              <w:t>检测方法：多重荧光PCR-毛细管电泳法性能要求：体外定性检测肿瘤组织FFPR样本中的≥5个微卫星位点</w:t>
            </w:r>
          </w:p>
          <w:p>
            <w:pPr>
              <w:widowControl/>
              <w:jc w:val="left"/>
            </w:pPr>
            <w:r>
              <w:rPr>
                <w:rFonts w:hint="eastAsia"/>
              </w:rPr>
              <w:t>其他要求：与片段分析平台ABI 3500Dx配套使用</w:t>
            </w:r>
          </w:p>
          <w:p>
            <w:pPr>
              <w:widowControl/>
              <w:jc w:val="left"/>
            </w:pPr>
          </w:p>
          <w:p>
            <w:pPr>
              <w:widowControl/>
              <w:jc w:val="left"/>
              <w:rPr>
                <w:rFonts w:hint="eastAsia" w:ascii="Times New Roman" w:hAnsi="Times New Roman" w:eastAsia="宋体" w:cs="Times New Roman"/>
                <w:kern w:val="2"/>
                <w:sz w:val="21"/>
                <w:szCs w:val="24"/>
                <w:lang w:val="en-US" w:eastAsia="zh-CN" w:bidi="ar-SA"/>
              </w:rPr>
            </w:pPr>
          </w:p>
        </w:tc>
        <w:tc>
          <w:tcPr>
            <w:tcW w:w="158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各规格</w:t>
            </w:r>
          </w:p>
        </w:tc>
        <w:tc>
          <w:tcPr>
            <w:tcW w:w="224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2"/>
                <w:sz w:val="21"/>
                <w:szCs w:val="24"/>
                <w:lang w:val="en-US" w:eastAsia="zh-CN" w:bidi="ar-SA"/>
              </w:rPr>
            </w:pPr>
          </w:p>
        </w:tc>
      </w:tr>
      <w:tr>
        <w:tblPrEx>
          <w:tblCellMar>
            <w:top w:w="0" w:type="dxa"/>
            <w:left w:w="108" w:type="dxa"/>
            <w:bottom w:w="0" w:type="dxa"/>
            <w:right w:w="108" w:type="dxa"/>
          </w:tblCellMar>
        </w:tblPrEx>
        <w:trPr>
          <w:trHeight w:val="2875"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eastAsiaTheme="minorEastAsia" w:cstheme="minorEastAsia"/>
                <w:sz w:val="18"/>
                <w:szCs w:val="18"/>
              </w:rPr>
              <w:t>WYYYCGC-2023008</w:t>
            </w:r>
            <w:r>
              <w:rPr>
                <w:rFonts w:hint="eastAsia" w:asciiTheme="minorEastAsia" w:hAnsiTheme="minorEastAsia" w:eastAsiaTheme="minorEastAsia" w:cstheme="minorEastAsia"/>
                <w:sz w:val="18"/>
                <w:szCs w:val="18"/>
              </w:rPr>
              <w:t>/07</w:t>
            </w:r>
          </w:p>
        </w:tc>
        <w:tc>
          <w:tcPr>
            <w:tcW w:w="138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BRCA1/2基因突变检测试剂盒（二代测序平台）</w:t>
            </w:r>
          </w:p>
        </w:tc>
        <w:tc>
          <w:tcPr>
            <w:tcW w:w="3255" w:type="dxa"/>
            <w:tcBorders>
              <w:top w:val="single" w:color="auto" w:sz="4" w:space="0"/>
              <w:left w:val="nil"/>
              <w:bottom w:val="single" w:color="auto" w:sz="4" w:space="0"/>
              <w:right w:val="single" w:color="auto" w:sz="4" w:space="0"/>
            </w:tcBorders>
            <w:noWrap/>
            <w:vAlign w:val="center"/>
          </w:tcPr>
          <w:p>
            <w:pPr>
              <w:widowControl/>
              <w:jc w:val="left"/>
            </w:pPr>
            <w:r>
              <w:rPr>
                <w:rFonts w:hint="eastAsia"/>
              </w:rPr>
              <w:t>性能要求：体外定性检测上皮性卵巢癌患者外周血样本DNA中BRCA1基因和BRCA2基因全编码区及外显子-内含子链接区、UTR区和启动子区的点突变和插入缺失突变</w:t>
            </w:r>
          </w:p>
          <w:p>
            <w:pPr>
              <w:widowControl/>
              <w:jc w:val="left"/>
            </w:pPr>
            <w:r>
              <w:rPr>
                <w:rFonts w:hint="eastAsia"/>
              </w:rPr>
              <w:t>适应范围:乳腺癌、卵巢癌检测</w:t>
            </w:r>
          </w:p>
          <w:p>
            <w:pPr>
              <w:widowControl/>
              <w:jc w:val="left"/>
              <w:rPr>
                <w:rFonts w:hint="eastAsia" w:ascii="Times New Roman" w:hAnsi="Times New Roman" w:eastAsia="宋体" w:cs="Times New Roman"/>
                <w:kern w:val="2"/>
                <w:sz w:val="21"/>
                <w:szCs w:val="24"/>
                <w:lang w:val="en-US" w:eastAsia="zh-CN" w:bidi="ar-SA"/>
              </w:rPr>
            </w:pPr>
            <w:r>
              <w:rPr>
                <w:rFonts w:hint="eastAsia"/>
              </w:rPr>
              <w:t>其他要求：与测序平台illumina配套使用</w:t>
            </w:r>
          </w:p>
        </w:tc>
        <w:tc>
          <w:tcPr>
            <w:tcW w:w="158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各规格</w:t>
            </w:r>
          </w:p>
        </w:tc>
        <w:tc>
          <w:tcPr>
            <w:tcW w:w="224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2"/>
                <w:sz w:val="21"/>
                <w:szCs w:val="24"/>
                <w:lang w:val="en-US" w:eastAsia="zh-CN" w:bidi="ar-SA"/>
              </w:rPr>
            </w:pPr>
          </w:p>
        </w:tc>
      </w:tr>
      <w:tr>
        <w:tblPrEx>
          <w:tblCellMar>
            <w:top w:w="0" w:type="dxa"/>
            <w:left w:w="108" w:type="dxa"/>
            <w:bottom w:w="0" w:type="dxa"/>
            <w:right w:w="108" w:type="dxa"/>
          </w:tblCellMar>
        </w:tblPrEx>
        <w:trPr>
          <w:trHeight w:val="2566"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eastAsiaTheme="minorEastAsia" w:cstheme="minorEastAsia"/>
                <w:sz w:val="18"/>
                <w:szCs w:val="18"/>
              </w:rPr>
              <w:t>WYYYCGC-2023008</w:t>
            </w:r>
            <w:r>
              <w:rPr>
                <w:rFonts w:hint="eastAsia" w:asciiTheme="minorEastAsia" w:hAnsiTheme="minorEastAsia" w:eastAsiaTheme="minorEastAsia" w:cstheme="minorEastAsia"/>
                <w:sz w:val="18"/>
                <w:szCs w:val="18"/>
              </w:rPr>
              <w:t>/08</w:t>
            </w:r>
          </w:p>
        </w:tc>
        <w:tc>
          <w:tcPr>
            <w:tcW w:w="138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肠癌多基因突变联合检测（二代测序平台）</w:t>
            </w:r>
          </w:p>
        </w:tc>
        <w:tc>
          <w:tcPr>
            <w:tcW w:w="3255" w:type="dxa"/>
            <w:tcBorders>
              <w:top w:val="single" w:color="auto" w:sz="4" w:space="0"/>
              <w:left w:val="nil"/>
              <w:bottom w:val="single" w:color="auto" w:sz="4" w:space="0"/>
              <w:right w:val="single" w:color="auto" w:sz="4" w:space="0"/>
            </w:tcBorders>
            <w:noWrap/>
            <w:vAlign w:val="center"/>
          </w:tcPr>
          <w:p>
            <w:pPr>
              <w:widowControl/>
              <w:jc w:val="left"/>
            </w:pPr>
            <w:r>
              <w:rPr>
                <w:rFonts w:hint="eastAsia"/>
              </w:rPr>
              <w:t>适用范围：定性检测结直肠癌患者经中性福尔马林固定的石蜡组织样本中的基因突变. 试剂盒注册可检测的基因（至少包含4种KRAS/NRAS/BRAF/PIK3CA靶向基因位点）,测序平台:illumina</w:t>
            </w:r>
          </w:p>
          <w:p>
            <w:pPr>
              <w:widowControl/>
              <w:jc w:val="left"/>
              <w:rPr>
                <w:rFonts w:hint="eastAsia" w:ascii="Times New Roman" w:hAnsi="Times New Roman" w:eastAsia="宋体" w:cs="Times New Roman"/>
                <w:kern w:val="2"/>
                <w:sz w:val="21"/>
                <w:szCs w:val="24"/>
                <w:lang w:val="en-US" w:eastAsia="zh-CN" w:bidi="ar-SA"/>
              </w:rPr>
            </w:pPr>
          </w:p>
        </w:tc>
        <w:tc>
          <w:tcPr>
            <w:tcW w:w="158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rPr>
              <w:t>各规格</w:t>
            </w:r>
          </w:p>
        </w:tc>
        <w:tc>
          <w:tcPr>
            <w:tcW w:w="224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2"/>
                <w:sz w:val="21"/>
                <w:szCs w:val="24"/>
                <w:lang w:val="en-US" w:eastAsia="zh-CN" w:bidi="ar-SA"/>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2JjOGVmZTc4NGM3YTc5N2E2ZmZlMDE2NzZjYTcifQ=="/>
  </w:docVars>
  <w:rsids>
    <w:rsidRoot w:val="4AA557A3"/>
    <w:rsid w:val="4AA5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2023-05-18T00:07:00Z</dcterms:created>
  <dc:creator>异元间极亮物</dc:creator>
  <cp:lastModifiedBy>异元间极亮物</cp:lastModifiedBy>
  <dcterms:modified xsi:type="dcterms:W3CDTF">2023-05-18T00:09:00Z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D5812368D80F47C0B1F533F398E4A4F2_11</vt:lpwstr>
  </property>
</Properties>
</file>