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321"/>
        <w:gridCol w:w="3735"/>
        <w:gridCol w:w="988"/>
        <w:gridCol w:w="2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lang w:val="en-US" w:eastAsia="zh-CN"/>
              </w:rPr>
              <w:t>根管材料包</w:t>
            </w:r>
            <w:bookmarkEnd w:id="0"/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含根管冲洗消毒材料、根管充填材料（冷充填、热充填）、根管预备辅助材料（拔髓针、超声工作尖、根管内容物溶解剂、扩孔钻、手锉、吸潮纸尖等）、根管桩和机用锉等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WYYYCGC-2023007/04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印模及咬合记录材料</w:t>
            </w:r>
            <w:r>
              <w:rPr>
                <w:rFonts w:hint="eastAsia" w:ascii="宋体" w:hAnsi="宋体" w:cs="宋体"/>
                <w:lang w:val="en-US" w:eastAsia="zh-CN"/>
              </w:rPr>
              <w:t>包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含咬合记录材料、咬合检查材料（传感器、橡胶和纸等）和印模材料等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WYYYCGC-2023007/09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功能矫治器（定制）及正畸辅助材料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结构及组成：个性化定制型功能矫正器及正畸辅助材料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适用范围：个性化定制正畸肌功能矫治器，实现牙齿矫正、肌功能训练。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WYYYCGC-2023007/11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定制式舌侧矫治器及正畸辅助材料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结构及组成：定制式舌侧金属矫治器及正畸辅助材料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WYYYCGC-2023007/12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定制式唇侧矫治器及正畸辅助材料</w:t>
            </w:r>
          </w:p>
        </w:tc>
        <w:tc>
          <w:tcPr>
            <w:tcW w:w="3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结构及组成：定制式唇侧金属矫治器及正畸辅助材料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适用范围：适用正畸矫正。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exact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WYYYCGC-2023007/20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颌垫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结构及组成：去程序化平衡器，面弓定位，数字化设计的牙垫。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适用范围：正畸及颞下颌关节治疗。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各规格、各材料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7543092F"/>
    <w:rsid w:val="7543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499</Characters>
  <Lines>0</Lines>
  <Paragraphs>0</Paragraphs>
  <TotalTime>0</TotalTime>
  <ScaleCrop>false</ScaleCrop>
  <LinksUpToDate>false</LinksUpToDate>
  <CharactersWithSpaces>499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2023-05-25T01:51:00Z</dcterms:created>
  <dc:creator>异元间极亮物</dc:creator>
  <cp:lastModifiedBy>异元间极亮物</cp:lastModifiedBy>
  <dcterms:modified xsi:type="dcterms:W3CDTF">2023-05-25T01:52:28Z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3FBE57583EAD46D69AF3E444D2DFE5A9_11</vt:lpwstr>
  </property>
</Properties>
</file>