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WYYYCGC-2023029/01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疤痕敷贴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结构及组成：由多层结构组成，主要成份为硅凝胶；</w:t>
            </w:r>
          </w:p>
          <w:p>
            <w:pPr>
              <w:pStyle w:val="2"/>
              <w:jc w:val="both"/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适用范围：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用于预防和改善皮肤病理性疤痕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WYYYCGC-2023029/02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人工真皮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结构及组成：双层结构，上层为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膜结构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，下层为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真皮替代结构（如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胶原蛋白-硫酸软骨素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、胶原蛋白海绵等）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构建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真皮支架层；</w:t>
            </w: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主要成分为猪源胶原蛋白。</w:t>
            </w:r>
          </w:p>
          <w:p>
            <w:pPr>
              <w:pStyle w:val="2"/>
              <w:jc w:val="both"/>
              <w:rPr>
                <w:rFonts w:hint="default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适用范围：用于深度烧伤及由于创伤导致的全层皮肤缺损修复与重建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highlight w:val="yellow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WYYYCGC-2023029/03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皮肤创面敷料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="微软雅黑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结构及组成：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由无机非金属材料制成；</w:t>
            </w:r>
          </w:p>
          <w:p>
            <w:pPr>
              <w:pStyle w:val="2"/>
              <w:jc w:val="both"/>
              <w:rPr>
                <w:rFonts w:hint="eastAsia" w:ascii="Times New Roman" w:hAnsi="Times New Roman" w:eastAsia="微软雅黑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适用范围：适用于小创口、擦伤、切割伤等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浅表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创面的防护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包含粉剂和糊剂两种剂型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WYYYCGC-2023029/04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医用几丁糖液体敷料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结构及组成：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由几丁糖或壳聚糖、甘油、纯化水等组成；</w:t>
            </w:r>
          </w:p>
          <w:p>
            <w:pPr>
              <w:pStyle w:val="2"/>
              <w:jc w:val="both"/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：通过在创面表面形成保护层，起物理屏障作用。用于小创口、擦伤、切割伤等非慢性创面及周围皮肤的护理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WYYYCGC-2023029/05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液体伤口敷料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="微软雅黑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结构及组成：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由</w:t>
            </w: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卡波姆、甘油、纯化水等组成</w:t>
            </w:r>
            <w:r>
              <w:rPr>
                <w:rFonts w:hint="eastAsia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pStyle w:val="2"/>
              <w:jc w:val="both"/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napToGrid/>
                <w:kern w:val="2"/>
                <w:sz w:val="21"/>
                <w:szCs w:val="24"/>
                <w:lang w:val="en-US" w:eastAsia="zh-CN" w:bidi="ar-SA"/>
              </w:rPr>
              <w:t>适用范围：通过在创面表面形成保护层，起物理屏障作用，用于小创口、擦伤、切割伤等非慢性创面及周围皮肤的护理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471385"/>
    <w:rsid w:val="0047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2023-05-29T08:48:00Z</dcterms:created>
  <dc:creator>异元间极亮物</dc:creator>
  <cp:lastModifiedBy>异元间极亮物</cp:lastModifiedBy>
  <dcterms:modified xsi:type="dcterms:W3CDTF">2023-05-29T08:49:09Z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95DE1BDE9E5D4130ABCDB4D2CD630C6D_11</vt:lpwstr>
  </property>
</Properties>
</file>