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bCs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温州医科大学附属第一医院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科技成果转化公示表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466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科技成果名称</w:t>
            </w:r>
          </w:p>
        </w:tc>
        <w:tc>
          <w:tcPr>
            <w:tcW w:w="601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theme="maj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2"/>
                <w:szCs w:val="22"/>
              </w:rPr>
              <w:t>一种心脏选择性间隔起搏导线撕开式递送鞘</w:t>
            </w:r>
          </w:p>
          <w:p>
            <w:pPr>
              <w:jc w:val="center"/>
              <w:rPr>
                <w:rFonts w:hint="eastAsia" w:ascii="仿宋" w:hAnsi="仿宋" w:eastAsia="仿宋" w:cstheme="maj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2"/>
                <w:szCs w:val="22"/>
              </w:rPr>
              <w:t>申请</w:t>
            </w:r>
            <w:r>
              <w:rPr>
                <w:rFonts w:hint="eastAsia" w:ascii="仿宋" w:hAnsi="仿宋" w:eastAsia="仿宋" w:cstheme="majorEastAsia"/>
                <w:kern w:val="0"/>
                <w:sz w:val="22"/>
                <w:szCs w:val="22"/>
                <w:lang w:eastAsia="zh-CN"/>
              </w:rPr>
              <w:t>号</w:t>
            </w:r>
            <w:r>
              <w:rPr>
                <w:rFonts w:hint="eastAsia" w:ascii="仿宋" w:hAnsi="仿宋" w:eastAsia="仿宋" w:cstheme="majorEastAsia"/>
                <w:kern w:val="0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仿宋" w:hAnsi="仿宋" w:eastAsia="仿宋" w:cstheme="majorEastAsia"/>
                <w:kern w:val="0"/>
                <w:sz w:val="22"/>
                <w:szCs w:val="22"/>
              </w:rPr>
              <w:t xml:space="preserve"> 202321447552.8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成果完成人</w:t>
            </w:r>
          </w:p>
        </w:tc>
        <w:tc>
          <w:tcPr>
            <w:tcW w:w="6011" w:type="dxa"/>
            <w:gridSpan w:val="2"/>
          </w:tcPr>
          <w:p>
            <w:pPr>
              <w:jc w:val="center"/>
              <w:rPr>
                <w:rFonts w:hint="eastAsia" w:ascii="仿宋" w:hAnsi="仿宋" w:eastAsia="仿宋" w:cstheme="majorEastAsia"/>
                <w:kern w:val="0"/>
                <w:sz w:val="21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theme="majorEastAsia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1"/>
                <w:szCs w:val="22"/>
              </w:rPr>
              <w:t>苏蓝 黄伟剑 黄周青 王松洁 吴圣杰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转化方式</w:t>
            </w:r>
          </w:p>
        </w:tc>
        <w:tc>
          <w:tcPr>
            <w:tcW w:w="6011" w:type="dxa"/>
            <w:gridSpan w:val="2"/>
          </w:tcPr>
          <w:p>
            <w:pPr>
              <w:jc w:val="center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 xml:space="preserve">□普通许可 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>排他许可 □独占许可</w:t>
            </w:r>
          </w:p>
          <w:p>
            <w:pPr>
              <w:jc w:val="center"/>
              <w:rPr>
                <w:rFonts w:ascii="仿宋" w:hAnsi="仿宋" w:eastAsia="仿宋" w:cstheme="majorEastAsia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0"/>
                <w:szCs w:val="18"/>
              </w:rPr>
              <w:sym w:font="Wingdings 2" w:char="0052"/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>转 让    □作价投资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转化价格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（价格确定方式）</w:t>
            </w:r>
          </w:p>
        </w:tc>
        <w:tc>
          <w:tcPr>
            <w:tcW w:w="6011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 xml:space="preserve">科技成果价值评估报告（□有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否）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协议作价 价格：</w:t>
            </w:r>
          </w:p>
          <w:p>
            <w:pPr>
              <w:jc w:val="left"/>
              <w:rPr>
                <w:rFonts w:hint="eastAsia" w:ascii="仿宋" w:hAnsi="仿宋" w:eastAsia="仿宋" w:cs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挂牌交易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theme="majorEastAsia"/>
                <w:kern w:val="0"/>
                <w:sz w:val="18"/>
                <w:szCs w:val="18"/>
                <w:lang w:eastAsia="zh-CN"/>
              </w:rPr>
              <w:t>挂牌价：</w:t>
            </w:r>
          </w:p>
          <w:p>
            <w:pPr>
              <w:jc w:val="left"/>
              <w:rPr>
                <w:rFonts w:hint="eastAsia" w:ascii="仿宋" w:hAnsi="仿宋" w:eastAsia="仿宋" w:cstheme="majorEastAsia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theme="majorEastAsia"/>
                <w:kern w:val="0"/>
                <w:sz w:val="21"/>
                <w:szCs w:val="22"/>
              </w:rPr>
              <w:t>伍拾万元整（￥ 500</w:t>
            </w:r>
            <w:r>
              <w:rPr>
                <w:rFonts w:hint="eastAsia" w:ascii="仿宋" w:hAnsi="仿宋" w:eastAsia="仿宋" w:cstheme="majorEastAsia"/>
                <w:kern w:val="0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theme="majorEastAsia"/>
                <w:kern w:val="0"/>
                <w:sz w:val="21"/>
                <w:szCs w:val="22"/>
              </w:rPr>
              <w:t>000.00  ），分三期支付，协议生效之日起15个工作日内支付10万元，专利授权之日起15个工作日内支付20万元；取得国家药监局医疗器械注册证书之日起15个工作日内支付20万元；后期价款为该产品取得器械证后5年内该技术转化的医疗器械不含税销售额的1%。</w:t>
            </w:r>
          </w:p>
          <w:p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□拍卖 起拍价：最低成交价：</w:t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21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1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</w:rPr>
              <w:t>内容摘要</w:t>
            </w:r>
          </w:p>
        </w:tc>
        <w:tc>
          <w:tcPr>
            <w:tcW w:w="4466" w:type="dxa"/>
          </w:tcPr>
          <w:p>
            <w:pPr>
              <w:jc w:val="left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0"/>
                <w:szCs w:val="18"/>
              </w:rPr>
              <w:t>拟受让方是否是成果完成人或者利害关系人</w:t>
            </w:r>
          </w:p>
        </w:tc>
        <w:tc>
          <w:tcPr>
            <w:tcW w:w="1545" w:type="dxa"/>
          </w:tcPr>
          <w:p>
            <w:pPr>
              <w:jc w:val="left"/>
              <w:rPr>
                <w:rFonts w:ascii="仿宋" w:hAnsi="仿宋" w:eastAsia="仿宋" w:cstheme="majorEastAsia"/>
                <w:kern w:val="0"/>
                <w:sz w:val="20"/>
                <w:szCs w:val="18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0"/>
                <w:szCs w:val="18"/>
              </w:rPr>
              <w:t>是□ 否</w:t>
            </w:r>
            <w:r>
              <w:rPr>
                <w:rFonts w:hint="eastAsia" w:ascii="仿宋" w:hAnsi="仿宋" w:eastAsia="仿宋" w:cstheme="majorEastAsia"/>
                <w:kern w:val="0"/>
                <w:sz w:val="20"/>
                <w:szCs w:val="18"/>
              </w:rPr>
              <w:sym w:font="Wingdings 2" w:char="0052"/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</w:trPr>
        <w:tc>
          <w:tcPr>
            <w:tcW w:w="251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8"/>
                <w:szCs w:val="36"/>
                <w:highlight w:val="yellow"/>
              </w:rPr>
            </w:pPr>
          </w:p>
        </w:tc>
        <w:tc>
          <w:tcPr>
            <w:tcW w:w="6011" w:type="dxa"/>
            <w:gridSpan w:val="2"/>
          </w:tcPr>
          <w:p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pStyle w:val="3"/>
              <w:rPr>
                <w:rFonts w:hint="eastAsia" w:ascii="仿宋" w:hAnsi="仿宋" w:eastAsia="仿宋" w:cstheme="maj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1"/>
                <w:szCs w:val="22"/>
                <w:lang w:val="en-US" w:eastAsia="zh-CN" w:bidi="ar-SA"/>
              </w:rPr>
              <w:t>本实用新型专利涉及介入性医疗辅助器械技术领域，是一种心脏选择性间隔起搏导线配套的递送鞘（撕开式）。</w:t>
            </w:r>
          </w:p>
          <w:p>
            <w:pPr>
              <w:pStyle w:val="3"/>
              <w:rPr>
                <w:rFonts w:hint="eastAsia" w:ascii="仿宋" w:hAnsi="仿宋" w:eastAsia="仿宋" w:cstheme="majorEastAsia"/>
                <w:kern w:val="0"/>
                <w:sz w:val="21"/>
                <w:szCs w:val="22"/>
                <w:lang w:val="en-US" w:eastAsia="zh-CN" w:bidi="ar-SA"/>
              </w:rPr>
            </w:pPr>
          </w:p>
          <w:p>
            <w:pPr>
              <w:pStyle w:val="3"/>
              <w:rPr>
                <w:rFonts w:hint="eastAsia" w:ascii="仿宋" w:hAnsi="仿宋" w:eastAsia="仿宋" w:cstheme="maj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1"/>
                <w:szCs w:val="22"/>
                <w:lang w:val="en-US" w:eastAsia="zh-CN" w:bidi="ar-SA"/>
              </w:rPr>
              <w:t>价值判定:本专利克服现有心脏起搏器常规主动电极导线定位不准确，或需要辅助工具切开完成撤鞘过程，操作较复杂，不能满足主动电极在房间隔和室间隔的选择性部位的精确起搏要求。本专利提供了适用于各种型号起搏电极导线的间隔递送鞘，解决临床瓶颈，填补临床空白，有着巨大临床需求、良好的发展前景及市场空间。</w:t>
            </w:r>
          </w:p>
          <w:p>
            <w:pPr>
              <w:jc w:val="left"/>
              <w:rPr>
                <w:rFonts w:hint="eastAsia" w:ascii="仿宋" w:hAnsi="仿宋" w:eastAsia="仿宋" w:cstheme="majorEastAsia"/>
                <w:kern w:val="0"/>
                <w:sz w:val="21"/>
                <w:szCs w:val="22"/>
                <w:lang w:val="en-US" w:eastAsia="zh-Hans" w:bidi="ar-SA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 w:bidi="ar-SA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 w:cstheme="majorEastAsia"/>
                <w:kern w:val="0"/>
                <w:sz w:val="21"/>
                <w:szCs w:val="18"/>
                <w:lang w:eastAsia="zh-CN"/>
              </w:rPr>
            </w:pPr>
            <w:r>
              <w:rPr>
                <w:rFonts w:hint="eastAsia" w:ascii="仿宋" w:hAnsi="仿宋" w:eastAsia="仿宋" w:cstheme="majorEastAsia"/>
                <w:kern w:val="0"/>
                <w:sz w:val="21"/>
                <w:szCs w:val="18"/>
              </w:rPr>
              <w:t>涉密状况</w:t>
            </w:r>
            <w:r>
              <w:rPr>
                <w:rFonts w:ascii="仿宋" w:hAnsi="仿宋" w:eastAsia="仿宋" w:cstheme="majorEastAsia"/>
                <w:kern w:val="0"/>
                <w:sz w:val="21"/>
                <w:szCs w:val="18"/>
              </w:rPr>
              <w:t>：</w:t>
            </w:r>
            <w:r>
              <w:rPr>
                <w:rFonts w:hint="eastAsia" w:ascii="仿宋" w:hAnsi="仿宋" w:eastAsia="仿宋" w:cstheme="majorEastAsia"/>
                <w:kern w:val="0"/>
                <w:sz w:val="21"/>
                <w:szCs w:val="18"/>
                <w:lang w:eastAsia="zh-CN"/>
              </w:rPr>
              <w:t>无</w:t>
            </w: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仿宋" w:hAnsi="仿宋" w:eastAsia="仿宋" w:cstheme="major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  <w:docVar w:name="KSO_WPS_MARK_KEY" w:val="e4583f43-6b3b-4531-9f92-fbe7de9b38f7"/>
  </w:docVars>
  <w:rsids>
    <w:rsidRoot w:val="00B71BE9"/>
    <w:rsid w:val="00021F38"/>
    <w:rsid w:val="00134F2E"/>
    <w:rsid w:val="00141865"/>
    <w:rsid w:val="00145898"/>
    <w:rsid w:val="001748B7"/>
    <w:rsid w:val="00187243"/>
    <w:rsid w:val="00200D8A"/>
    <w:rsid w:val="00227BC3"/>
    <w:rsid w:val="002B7EB1"/>
    <w:rsid w:val="00332903"/>
    <w:rsid w:val="003367A4"/>
    <w:rsid w:val="00461A4F"/>
    <w:rsid w:val="00467E73"/>
    <w:rsid w:val="00495363"/>
    <w:rsid w:val="004C533C"/>
    <w:rsid w:val="00500FD0"/>
    <w:rsid w:val="00531A17"/>
    <w:rsid w:val="005D4A39"/>
    <w:rsid w:val="005D6499"/>
    <w:rsid w:val="005E7AA6"/>
    <w:rsid w:val="0062377A"/>
    <w:rsid w:val="00645525"/>
    <w:rsid w:val="006624DB"/>
    <w:rsid w:val="00680E60"/>
    <w:rsid w:val="006B49DA"/>
    <w:rsid w:val="006D78CF"/>
    <w:rsid w:val="006E2E1D"/>
    <w:rsid w:val="006F727F"/>
    <w:rsid w:val="00731D56"/>
    <w:rsid w:val="007F3A4B"/>
    <w:rsid w:val="0080498C"/>
    <w:rsid w:val="00844675"/>
    <w:rsid w:val="00906E99"/>
    <w:rsid w:val="009A58F1"/>
    <w:rsid w:val="009A59F0"/>
    <w:rsid w:val="009B4C54"/>
    <w:rsid w:val="00A8331C"/>
    <w:rsid w:val="00A85715"/>
    <w:rsid w:val="00AF5C8D"/>
    <w:rsid w:val="00B12016"/>
    <w:rsid w:val="00B15D20"/>
    <w:rsid w:val="00B57FD2"/>
    <w:rsid w:val="00B71BE9"/>
    <w:rsid w:val="00B971CF"/>
    <w:rsid w:val="00BB5F83"/>
    <w:rsid w:val="00C37827"/>
    <w:rsid w:val="00C524E6"/>
    <w:rsid w:val="00C56FF2"/>
    <w:rsid w:val="00D3211D"/>
    <w:rsid w:val="00D95F03"/>
    <w:rsid w:val="00DC5623"/>
    <w:rsid w:val="00E221F2"/>
    <w:rsid w:val="00E30308"/>
    <w:rsid w:val="00E544A4"/>
    <w:rsid w:val="00EB5409"/>
    <w:rsid w:val="00EB6115"/>
    <w:rsid w:val="00ED1CB8"/>
    <w:rsid w:val="00F35237"/>
    <w:rsid w:val="00F51965"/>
    <w:rsid w:val="00FA7DC9"/>
    <w:rsid w:val="0B264AEB"/>
    <w:rsid w:val="17FA64BD"/>
    <w:rsid w:val="1A43510B"/>
    <w:rsid w:val="1E5A7FBF"/>
    <w:rsid w:val="225B1467"/>
    <w:rsid w:val="23431A27"/>
    <w:rsid w:val="24455FED"/>
    <w:rsid w:val="2B894F37"/>
    <w:rsid w:val="35835AAE"/>
    <w:rsid w:val="383D4C11"/>
    <w:rsid w:val="3EDA7F5F"/>
    <w:rsid w:val="4137363C"/>
    <w:rsid w:val="45F842A7"/>
    <w:rsid w:val="464A196E"/>
    <w:rsid w:val="52B24683"/>
    <w:rsid w:val="544E2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BFA1-CEE0-403E-871F-650CAF275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510</Words>
  <Characters>537</Characters>
  <Lines>3</Lines>
  <Paragraphs>1</Paragraphs>
  <TotalTime>5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2021-05-07T01:07:00Z</dcterms:created>
  <dc:creator>外网</dc:creator>
  <cp:lastModifiedBy>外网</cp:lastModifiedBy>
  <dcterms:modified xsi:type="dcterms:W3CDTF">2023-06-09T06:17:47Z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D371773565B148088A973F625E0B37F2</vt:lpwstr>
  </property>
</Properties>
</file>