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69" w:type="dxa"/>
        <w:tblInd w:w="0" w:type="dxa"/>
        <w:tblLayout w:type="fixed"/>
        <w:tblCellMar>
          <w:top w:w="0" w:type="dxa"/>
          <w:left w:w="108" w:type="dxa"/>
          <w:bottom w:w="0" w:type="dxa"/>
          <w:right w:w="108" w:type="dxa"/>
        </w:tblCellMar>
      </w:tblPr>
      <w:tblGrid>
        <w:gridCol w:w="1317"/>
        <w:gridCol w:w="1269"/>
        <w:gridCol w:w="3809"/>
        <w:gridCol w:w="1104"/>
        <w:gridCol w:w="2170"/>
      </w:tblGrid>
      <w:tr>
        <w:tblPrEx>
          <w:tblCellMar>
            <w:top w:w="0" w:type="dxa"/>
            <w:left w:w="108" w:type="dxa"/>
            <w:bottom w:w="0" w:type="dxa"/>
            <w:right w:w="108" w:type="dxa"/>
          </w:tblCellMar>
        </w:tblPrEx>
        <w:trPr>
          <w:trHeight w:val="597" w:hRule="exact"/>
        </w:trPr>
        <w:tc>
          <w:tcPr>
            <w:tcW w:w="13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项目编号/标段编号</w:t>
            </w:r>
          </w:p>
        </w:tc>
        <w:tc>
          <w:tcPr>
            <w:tcW w:w="126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标段名称</w:t>
            </w:r>
          </w:p>
        </w:tc>
        <w:tc>
          <w:tcPr>
            <w:tcW w:w="38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产品要求</w:t>
            </w:r>
          </w:p>
        </w:tc>
        <w:tc>
          <w:tcPr>
            <w:tcW w:w="110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规格</w:t>
            </w:r>
          </w:p>
        </w:tc>
        <w:tc>
          <w:tcPr>
            <w:tcW w:w="217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rPr>
            </w:pPr>
            <w:r>
              <w:rPr>
                <w:rFonts w:hint="eastAsia" w:ascii="宋体" w:hAnsi="宋体" w:cs="宋体"/>
              </w:rPr>
              <w:t>备注</w:t>
            </w:r>
          </w:p>
        </w:tc>
      </w:tr>
      <w:tr>
        <w:tblPrEx>
          <w:tblCellMar>
            <w:top w:w="0" w:type="dxa"/>
            <w:left w:w="108" w:type="dxa"/>
            <w:bottom w:w="0" w:type="dxa"/>
            <w:right w:w="108" w:type="dxa"/>
          </w:tblCellMar>
        </w:tblPrEx>
        <w:trPr>
          <w:trHeight w:val="3085" w:hRule="exact"/>
        </w:trPr>
        <w:tc>
          <w:tcPr>
            <w:tcW w:w="13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kern w:val="2"/>
                <w:sz w:val="21"/>
                <w:szCs w:val="24"/>
                <w:lang w:val="en-US" w:eastAsia="zh-CN" w:bidi="ar-SA"/>
              </w:rPr>
            </w:pPr>
            <w:r>
              <w:rPr>
                <w:rFonts w:hint="eastAsia" w:ascii="宋体" w:hAnsi="宋体" w:cs="宋体"/>
              </w:rPr>
              <w:t>WYYYCGC-</w:t>
            </w:r>
            <w:r>
              <w:rPr>
                <w:rFonts w:hint="eastAsia" w:ascii="宋体" w:hAnsi="宋体" w:cs="宋体"/>
                <w:lang w:eastAsia="zh-CN"/>
              </w:rPr>
              <w:t>20230</w:t>
            </w:r>
            <w:r>
              <w:rPr>
                <w:rFonts w:hint="eastAsia" w:ascii="宋体" w:hAnsi="宋体" w:cs="宋体"/>
                <w:lang w:val="en-US" w:eastAsia="zh-CN"/>
              </w:rPr>
              <w:t>20</w:t>
            </w:r>
            <w:r>
              <w:rPr>
                <w:rFonts w:hint="eastAsia" w:ascii="宋体" w:hAnsi="宋体" w:cs="宋体"/>
              </w:rPr>
              <w:t>/</w:t>
            </w:r>
            <w:r>
              <w:rPr>
                <w:rFonts w:hint="eastAsia" w:ascii="宋体" w:hAnsi="宋体" w:cs="宋体"/>
                <w:lang w:val="en-US" w:eastAsia="zh-CN"/>
              </w:rPr>
              <w:t>01</w:t>
            </w:r>
          </w:p>
        </w:tc>
        <w:tc>
          <w:tcPr>
            <w:tcW w:w="126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一次性使用心电电极</w:t>
            </w:r>
          </w:p>
        </w:tc>
        <w:tc>
          <w:tcPr>
            <w:tcW w:w="3809" w:type="dxa"/>
            <w:tcBorders>
              <w:top w:val="single" w:color="auto" w:sz="4" w:space="0"/>
              <w:left w:val="nil"/>
              <w:bottom w:val="single" w:color="auto" w:sz="4" w:space="0"/>
              <w:right w:val="single" w:color="auto" w:sz="4" w:space="0"/>
            </w:tcBorders>
            <w:noWrap/>
            <w:vAlign w:val="center"/>
          </w:tcPr>
          <w:p>
            <w:pPr>
              <w:widowControl/>
              <w:numPr>
                <w:ilvl w:val="0"/>
                <w:numId w:val="0"/>
              </w:numPr>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产品</w:t>
            </w:r>
            <w:r>
              <w:rPr>
                <w:rFonts w:hint="eastAsia" w:cs="Times New Roman"/>
                <w:kern w:val="2"/>
                <w:sz w:val="21"/>
                <w:szCs w:val="24"/>
                <w:lang w:val="en-US" w:eastAsia="zh-CN" w:bidi="ar-SA"/>
              </w:rPr>
              <w:t>组成：</w:t>
            </w:r>
            <w:r>
              <w:rPr>
                <w:rFonts w:hint="eastAsia" w:ascii="Times New Roman" w:hAnsi="Times New Roman" w:eastAsia="宋体" w:cs="Times New Roman"/>
                <w:kern w:val="2"/>
                <w:sz w:val="21"/>
                <w:szCs w:val="24"/>
                <w:lang w:val="en-US" w:eastAsia="zh-CN" w:bidi="ar-SA"/>
              </w:rPr>
              <w:t>银/氯化银电极</w:t>
            </w:r>
            <w:r>
              <w:rPr>
                <w:rFonts w:hint="eastAsia" w:cs="Times New Roman"/>
                <w:kern w:val="2"/>
                <w:sz w:val="21"/>
                <w:szCs w:val="24"/>
                <w:lang w:val="en-US" w:eastAsia="zh-CN" w:bidi="ar-SA"/>
              </w:rPr>
              <w:t>，包括基衬材料（</w:t>
            </w:r>
            <w:r>
              <w:rPr>
                <w:rFonts w:hint="eastAsia" w:ascii="Times New Roman" w:hAnsi="Times New Roman" w:eastAsia="宋体" w:cs="Times New Roman"/>
                <w:kern w:val="2"/>
                <w:sz w:val="21"/>
                <w:szCs w:val="24"/>
                <w:lang w:val="en-US" w:eastAsia="zh-CN" w:bidi="ar-SA"/>
              </w:rPr>
              <w:t>透气纸</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水刺布</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无纺布</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发泡绵</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棉布</w:t>
            </w:r>
            <w:r>
              <w:rPr>
                <w:rFonts w:hint="eastAsia"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医用压敏胶、导电胶、电极扣</w:t>
            </w:r>
            <w:r>
              <w:rPr>
                <w:rFonts w:hint="eastAsia" w:cs="Times New Roman"/>
                <w:kern w:val="2"/>
                <w:sz w:val="21"/>
                <w:szCs w:val="24"/>
                <w:lang w:val="en-US" w:eastAsia="zh-CN" w:bidi="ar-SA"/>
              </w:rPr>
              <w:t>等</w:t>
            </w:r>
          </w:p>
          <w:p>
            <w:pPr>
              <w:widowControl/>
              <w:numPr>
                <w:ilvl w:val="0"/>
                <w:numId w:val="0"/>
              </w:numPr>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2.适用范围：适用于</w:t>
            </w:r>
            <w:r>
              <w:rPr>
                <w:rFonts w:hint="eastAsia" w:ascii="Times New Roman" w:hAnsi="Times New Roman" w:eastAsia="宋体" w:cs="Times New Roman"/>
                <w:kern w:val="2"/>
                <w:sz w:val="21"/>
                <w:szCs w:val="24"/>
                <w:lang w:val="en-US" w:eastAsia="zh-CN" w:bidi="ar-SA"/>
              </w:rPr>
              <w:t>采集体表</w:t>
            </w:r>
            <w:r>
              <w:rPr>
                <w:rFonts w:hint="eastAsia" w:cs="Times New Roman"/>
                <w:kern w:val="2"/>
                <w:sz w:val="21"/>
                <w:szCs w:val="24"/>
                <w:lang w:val="en-US" w:eastAsia="zh-CN" w:bidi="ar-SA"/>
              </w:rPr>
              <w:t>动态</w:t>
            </w:r>
            <w:r>
              <w:rPr>
                <w:rFonts w:hint="eastAsia" w:ascii="Times New Roman" w:hAnsi="Times New Roman" w:eastAsia="宋体" w:cs="Times New Roman"/>
                <w:kern w:val="2"/>
                <w:sz w:val="21"/>
                <w:szCs w:val="24"/>
                <w:lang w:val="en-US" w:eastAsia="zh-CN" w:bidi="ar-SA"/>
              </w:rPr>
              <w:t>心电信号</w:t>
            </w:r>
          </w:p>
          <w:p>
            <w:pPr>
              <w:widowControl/>
              <w:numPr>
                <w:ilvl w:val="0"/>
                <w:numId w:val="0"/>
              </w:numPr>
              <w:ind w:left="0" w:leftChars="0" w:firstLine="0" w:firstLineChars="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3.其他要求：适配我院</w:t>
            </w:r>
            <w:r>
              <w:rPr>
                <w:rFonts w:hint="eastAsia" w:ascii="Times New Roman" w:hAnsi="Times New Roman" w:eastAsia="宋体" w:cs="Times New Roman"/>
                <w:kern w:val="2"/>
                <w:sz w:val="21"/>
                <w:szCs w:val="24"/>
                <w:lang w:val="en-US" w:eastAsia="zh-CN" w:bidi="ar-SA"/>
              </w:rPr>
              <w:t>心电图机、心电监护设备</w:t>
            </w:r>
          </w:p>
        </w:tc>
        <w:tc>
          <w:tcPr>
            <w:tcW w:w="1104"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各规格</w:t>
            </w:r>
          </w:p>
        </w:tc>
        <w:tc>
          <w:tcPr>
            <w:tcW w:w="2170"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1.各规格单独报价</w:t>
            </w:r>
          </w:p>
          <w:p>
            <w:pPr>
              <w:widowControl/>
              <w:numPr>
                <w:ilvl w:val="0"/>
                <w:numId w:val="0"/>
              </w:numPr>
              <w:jc w:val="left"/>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2.应满足成人和儿童的使用需求</w:t>
            </w:r>
          </w:p>
        </w:tc>
      </w:tr>
      <w:tr>
        <w:tblPrEx>
          <w:tblCellMar>
            <w:top w:w="0" w:type="dxa"/>
            <w:left w:w="108" w:type="dxa"/>
            <w:bottom w:w="0" w:type="dxa"/>
            <w:right w:w="108" w:type="dxa"/>
          </w:tblCellMar>
        </w:tblPrEx>
        <w:trPr>
          <w:trHeight w:val="2213" w:hRule="exact"/>
        </w:trPr>
        <w:tc>
          <w:tcPr>
            <w:tcW w:w="13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lang w:val="en-US" w:eastAsia="zh-CN"/>
              </w:rPr>
            </w:pPr>
            <w:r>
              <w:rPr>
                <w:rFonts w:hint="eastAsia" w:ascii="宋体" w:hAnsi="宋体" w:cs="宋体"/>
              </w:rPr>
              <w:t>WYYYCGC-2023020</w:t>
            </w:r>
            <w:r>
              <w:rPr>
                <w:rFonts w:hint="eastAsia" w:ascii="宋体" w:hAnsi="宋体" w:cs="宋体"/>
                <w:lang w:val="en-US" w:eastAsia="zh-CN"/>
              </w:rPr>
              <w:t>/02</w:t>
            </w:r>
          </w:p>
        </w:tc>
        <w:tc>
          <w:tcPr>
            <w:tcW w:w="126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弹性柔棉宽胶带</w:t>
            </w:r>
          </w:p>
        </w:tc>
        <w:tc>
          <w:tcPr>
            <w:tcW w:w="3809"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eastAsia"/>
                <w:color w:val="auto"/>
                <w:highlight w:val="none"/>
                <w:lang w:val="en-US" w:eastAsia="zh-CN"/>
              </w:rPr>
            </w:pPr>
            <w:r>
              <w:rPr>
                <w:rFonts w:hint="eastAsia"/>
                <w:color w:val="auto"/>
                <w:highlight w:val="none"/>
                <w:lang w:val="en-US" w:eastAsia="zh-CN"/>
              </w:rPr>
              <w:t>1.材料组成：带状粘贴材料</w:t>
            </w:r>
          </w:p>
          <w:p>
            <w:pPr>
              <w:widowControl/>
              <w:numPr>
                <w:ilvl w:val="0"/>
                <w:numId w:val="0"/>
              </w:numPr>
              <w:jc w:val="left"/>
              <w:rPr>
                <w:rFonts w:hint="eastAsia"/>
                <w:color w:val="auto"/>
                <w:highlight w:val="none"/>
                <w:lang w:val="en-US" w:eastAsia="zh-CN"/>
              </w:rPr>
            </w:pPr>
            <w:r>
              <w:rPr>
                <w:rFonts w:hint="eastAsia"/>
                <w:color w:val="auto"/>
                <w:highlight w:val="none"/>
                <w:lang w:val="en-US" w:eastAsia="zh-CN"/>
              </w:rPr>
              <w:t>2.设计要求：具有纵向弹性</w:t>
            </w:r>
          </w:p>
          <w:p>
            <w:pPr>
              <w:widowControl/>
              <w:numPr>
                <w:ilvl w:val="0"/>
                <w:numId w:val="0"/>
              </w:numPr>
              <w:ind w:leftChars="0"/>
              <w:jc w:val="left"/>
              <w:rPr>
                <w:rFonts w:hint="eastAsia"/>
                <w:color w:val="auto"/>
                <w:highlight w:val="none"/>
                <w:lang w:val="en-US" w:eastAsia="zh-CN"/>
              </w:rPr>
            </w:pPr>
            <w:r>
              <w:rPr>
                <w:rFonts w:hint="eastAsia"/>
                <w:color w:val="auto"/>
                <w:highlight w:val="none"/>
                <w:lang w:val="en-US" w:eastAsia="zh-CN"/>
              </w:rPr>
              <w:t>3.适用范围：适用于对敷料、绷带等提供粘贴力，以起到固定作用</w:t>
            </w:r>
          </w:p>
          <w:p>
            <w:pPr>
              <w:widowControl/>
              <w:numPr>
                <w:ilvl w:val="0"/>
                <w:numId w:val="0"/>
              </w:numPr>
              <w:ind w:left="0" w:leftChars="0" w:firstLine="0" w:firstLineChars="0"/>
              <w:jc w:val="left"/>
              <w:rPr>
                <w:rFonts w:hint="eastAsia"/>
                <w:color w:val="auto"/>
                <w:highlight w:val="none"/>
                <w:lang w:val="en-US" w:eastAsia="zh-CN"/>
              </w:rPr>
            </w:pPr>
            <w:r>
              <w:rPr>
                <w:rFonts w:hint="eastAsia"/>
                <w:color w:val="auto"/>
                <w:highlight w:val="none"/>
                <w:lang w:val="en-US" w:eastAsia="zh-CN"/>
              </w:rPr>
              <w:t>4.其他要求：一次性使用，不与创面直接接触，粘贴部位为完好皮肤</w:t>
            </w:r>
          </w:p>
          <w:p>
            <w:pPr>
              <w:widowControl/>
              <w:numPr>
                <w:ilvl w:val="0"/>
                <w:numId w:val="0"/>
              </w:numPr>
              <w:ind w:left="0" w:leftChars="0" w:firstLine="0" w:firstLineChars="0"/>
              <w:jc w:val="left"/>
              <w:rPr>
                <w:rFonts w:hint="eastAsia"/>
                <w:color w:val="auto"/>
                <w:highlight w:val="none"/>
                <w:lang w:val="en-US" w:eastAsia="zh-CN"/>
              </w:rPr>
            </w:pPr>
          </w:p>
        </w:tc>
        <w:tc>
          <w:tcPr>
            <w:tcW w:w="1104"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default"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各规格</w:t>
            </w:r>
          </w:p>
        </w:tc>
        <w:tc>
          <w:tcPr>
            <w:tcW w:w="2170"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eastAsia"/>
                <w:color w:val="auto"/>
                <w:highlight w:val="none"/>
                <w:lang w:val="en-US" w:eastAsia="zh-CN"/>
              </w:rPr>
            </w:pPr>
            <w:r>
              <w:rPr>
                <w:rFonts w:hint="eastAsia"/>
                <w:color w:val="auto"/>
                <w:highlight w:val="none"/>
                <w:lang w:val="en-US" w:eastAsia="zh-CN"/>
              </w:rPr>
              <w:t>1.各规格单独报价</w:t>
            </w:r>
          </w:p>
          <w:p>
            <w:pPr>
              <w:widowControl/>
              <w:numPr>
                <w:ilvl w:val="0"/>
                <w:numId w:val="0"/>
              </w:numPr>
              <w:jc w:val="left"/>
              <w:rPr>
                <w:rFonts w:hint="eastAsia"/>
                <w:color w:val="auto"/>
                <w:highlight w:val="none"/>
                <w:lang w:val="en-US" w:eastAsia="zh-CN"/>
              </w:rPr>
            </w:pPr>
            <w:r>
              <w:rPr>
                <w:rFonts w:hint="eastAsia"/>
                <w:color w:val="auto"/>
                <w:highlight w:val="none"/>
                <w:lang w:val="en-US" w:eastAsia="zh-CN"/>
              </w:rPr>
              <w:t xml:space="preserve">2.必须包含12.5mm </w:t>
            </w:r>
          </w:p>
          <w:p>
            <w:pPr>
              <w:widowControl/>
              <w:numPr>
                <w:ilvl w:val="0"/>
                <w:numId w:val="0"/>
              </w:numPr>
              <w:jc w:val="left"/>
              <w:rPr>
                <w:rFonts w:hint="eastAsia"/>
                <w:color w:val="auto"/>
                <w:highlight w:val="none"/>
                <w:lang w:val="en-US" w:eastAsia="zh-CN"/>
              </w:rPr>
            </w:pPr>
            <w:r>
              <w:rPr>
                <w:rFonts w:hint="eastAsia"/>
                <w:color w:val="auto"/>
                <w:highlight w:val="none"/>
                <w:lang w:val="en-US" w:eastAsia="zh-CN"/>
              </w:rPr>
              <w:t>和50mm两种宽度</w:t>
            </w:r>
          </w:p>
          <w:p>
            <w:pPr>
              <w:widowControl/>
              <w:numPr>
                <w:ilvl w:val="0"/>
                <w:numId w:val="0"/>
              </w:numPr>
              <w:jc w:val="left"/>
              <w:rPr>
                <w:rFonts w:hint="default" w:ascii="宋体" w:hAnsi="宋体" w:cs="宋体"/>
                <w:color w:val="auto"/>
                <w:kern w:val="2"/>
                <w:sz w:val="21"/>
                <w:szCs w:val="24"/>
                <w:highlight w:val="none"/>
                <w:lang w:val="en-US" w:eastAsia="zh-CN" w:bidi="ar-SA"/>
              </w:rPr>
            </w:pPr>
          </w:p>
        </w:tc>
      </w:tr>
      <w:tr>
        <w:tblPrEx>
          <w:tblCellMar>
            <w:top w:w="0" w:type="dxa"/>
            <w:left w:w="108" w:type="dxa"/>
            <w:bottom w:w="0" w:type="dxa"/>
            <w:right w:w="108" w:type="dxa"/>
          </w:tblCellMar>
        </w:tblPrEx>
        <w:trPr>
          <w:trHeight w:val="3352" w:hRule="exact"/>
        </w:trPr>
        <w:tc>
          <w:tcPr>
            <w:tcW w:w="13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rPr>
            </w:pPr>
            <w:r>
              <w:rPr>
                <w:rFonts w:hint="eastAsia" w:ascii="宋体" w:hAnsi="宋体" w:cs="宋体"/>
              </w:rPr>
              <w:t>WYYYCGC-2023020</w:t>
            </w:r>
            <w:r>
              <w:rPr>
                <w:rFonts w:hint="eastAsia" w:ascii="宋体" w:hAnsi="宋体" w:cs="宋体"/>
                <w:lang w:val="en-US" w:eastAsia="zh-CN"/>
              </w:rPr>
              <w:t>/03</w:t>
            </w:r>
          </w:p>
        </w:tc>
        <w:tc>
          <w:tcPr>
            <w:tcW w:w="126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压敏胶带</w:t>
            </w:r>
          </w:p>
        </w:tc>
        <w:tc>
          <w:tcPr>
            <w:tcW w:w="3809"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eastAsia" w:eastAsia="宋体"/>
                <w:color w:val="auto"/>
                <w:highlight w:val="none"/>
                <w:lang w:val="en-US" w:eastAsia="zh-CN"/>
              </w:rPr>
            </w:pPr>
            <w:r>
              <w:rPr>
                <w:rFonts w:hint="eastAsia"/>
                <w:color w:val="auto"/>
                <w:highlight w:val="none"/>
                <w:lang w:val="en-US" w:eastAsia="zh-CN"/>
              </w:rPr>
              <w:t>1.材料组成：涂有具有自粘特性的胶粘剂的胶带，胶带为无纺布和硅胶材质</w:t>
            </w:r>
          </w:p>
          <w:p>
            <w:pPr>
              <w:widowControl/>
              <w:numPr>
                <w:ilvl w:val="0"/>
                <w:numId w:val="0"/>
              </w:numPr>
              <w:jc w:val="left"/>
              <w:rPr>
                <w:rFonts w:hint="default"/>
                <w:color w:val="auto"/>
                <w:highlight w:val="none"/>
                <w:lang w:val="en-US" w:eastAsia="zh-CN"/>
              </w:rPr>
            </w:pPr>
            <w:r>
              <w:rPr>
                <w:rFonts w:hint="eastAsia"/>
                <w:color w:val="auto"/>
                <w:highlight w:val="none"/>
                <w:lang w:val="en-US" w:eastAsia="zh-CN"/>
              </w:rPr>
              <w:t>2.适用范围：适用于将敷料粘贴固定于创面或将其他医疗器械固定到人体的特定部位</w:t>
            </w:r>
          </w:p>
          <w:p>
            <w:pPr>
              <w:widowControl/>
              <w:numPr>
                <w:ilvl w:val="0"/>
                <w:numId w:val="0"/>
              </w:numPr>
              <w:ind w:left="0" w:leftChars="0" w:firstLine="0" w:firstLineChars="0"/>
              <w:jc w:val="left"/>
              <w:rPr>
                <w:rFonts w:hint="eastAsia"/>
                <w:color w:val="auto"/>
                <w:highlight w:val="none"/>
                <w:lang w:val="en-US" w:eastAsia="zh-CN"/>
              </w:rPr>
            </w:pPr>
            <w:r>
              <w:rPr>
                <w:rFonts w:hint="eastAsia"/>
                <w:color w:val="auto"/>
                <w:highlight w:val="none"/>
                <w:lang w:val="en-US" w:eastAsia="zh-CN"/>
              </w:rPr>
              <w:t>3.其他要求：一次性使用，不与创面直接接触，粘贴部位为完好皮肤，其中硅胶粘胶不粘毛发</w:t>
            </w:r>
          </w:p>
          <w:p>
            <w:pPr>
              <w:widowControl/>
              <w:numPr>
                <w:ilvl w:val="0"/>
                <w:numId w:val="0"/>
              </w:numPr>
              <w:ind w:left="0" w:leftChars="0" w:firstLine="0" w:firstLineChars="0"/>
              <w:jc w:val="left"/>
              <w:rPr>
                <w:rFonts w:hint="eastAsia"/>
                <w:color w:val="auto"/>
                <w:highlight w:val="none"/>
                <w:lang w:val="en-US" w:eastAsia="zh-CN"/>
              </w:rPr>
            </w:pPr>
          </w:p>
        </w:tc>
        <w:tc>
          <w:tcPr>
            <w:tcW w:w="1104" w:type="dxa"/>
            <w:tcBorders>
              <w:top w:val="single" w:color="auto" w:sz="4" w:space="0"/>
              <w:left w:val="nil"/>
              <w:bottom w:val="single" w:color="auto" w:sz="4" w:space="0"/>
              <w:right w:val="single" w:color="auto" w:sz="4" w:space="0"/>
            </w:tcBorders>
            <w:noWrap/>
            <w:vAlign w:val="center"/>
          </w:tcPr>
          <w:p>
            <w:pPr>
              <w:widowControl/>
              <w:jc w:val="left"/>
              <w:rPr>
                <w:rFonts w:hint="eastAsia"/>
                <w:color w:val="auto"/>
                <w:highlight w:val="none"/>
                <w:lang w:val="en-US" w:eastAsia="zh-CN"/>
              </w:rPr>
            </w:pPr>
            <w:r>
              <w:rPr>
                <w:rFonts w:hint="eastAsia"/>
                <w:color w:val="auto"/>
                <w:highlight w:val="none"/>
                <w:lang w:val="en-US" w:eastAsia="zh-CN"/>
              </w:rPr>
              <w:t>各规格</w:t>
            </w:r>
          </w:p>
        </w:tc>
        <w:tc>
          <w:tcPr>
            <w:tcW w:w="2170"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eastAsia"/>
                <w:color w:val="auto"/>
                <w:highlight w:val="none"/>
                <w:lang w:val="en-US" w:eastAsia="zh-CN"/>
              </w:rPr>
            </w:pPr>
            <w:r>
              <w:rPr>
                <w:rFonts w:hint="eastAsia"/>
                <w:color w:val="auto"/>
                <w:highlight w:val="none"/>
                <w:lang w:val="en-US" w:eastAsia="zh-CN"/>
              </w:rPr>
              <w:t>1.各规格单独报价</w:t>
            </w:r>
          </w:p>
          <w:p>
            <w:pPr>
              <w:widowControl/>
              <w:numPr>
                <w:ilvl w:val="0"/>
                <w:numId w:val="0"/>
              </w:numPr>
              <w:jc w:val="left"/>
              <w:rPr>
                <w:rFonts w:hint="eastAsia"/>
                <w:color w:val="auto"/>
                <w:highlight w:val="none"/>
                <w:lang w:val="en-US" w:eastAsia="zh-CN"/>
              </w:rPr>
            </w:pPr>
            <w:r>
              <w:rPr>
                <w:rFonts w:hint="eastAsia"/>
                <w:color w:val="auto"/>
                <w:highlight w:val="none"/>
                <w:lang w:val="en-US" w:eastAsia="zh-CN"/>
              </w:rPr>
              <w:t xml:space="preserve">2.必须包含12.5mm </w:t>
            </w:r>
          </w:p>
          <w:p>
            <w:pPr>
              <w:widowControl/>
              <w:numPr>
                <w:ilvl w:val="0"/>
                <w:numId w:val="0"/>
              </w:numPr>
              <w:jc w:val="left"/>
              <w:rPr>
                <w:rFonts w:hint="default"/>
                <w:color w:val="auto"/>
                <w:highlight w:val="none"/>
                <w:lang w:val="en-US" w:eastAsia="zh-CN"/>
              </w:rPr>
            </w:pPr>
            <w:r>
              <w:rPr>
                <w:rFonts w:hint="eastAsia"/>
                <w:color w:val="auto"/>
                <w:highlight w:val="none"/>
                <w:lang w:val="en-US" w:eastAsia="zh-CN"/>
              </w:rPr>
              <w:t xml:space="preserve">和25mm两种宽度  </w:t>
            </w:r>
          </w:p>
          <w:p>
            <w:pPr>
              <w:widowControl/>
              <w:jc w:val="left"/>
              <w:rPr>
                <w:rFonts w:hint="eastAsia" w:ascii="宋体" w:hAnsi="宋体" w:cs="宋体"/>
                <w:color w:val="auto"/>
                <w:kern w:val="2"/>
                <w:sz w:val="21"/>
                <w:szCs w:val="24"/>
                <w:highlight w:val="none"/>
                <w:lang w:val="en-US" w:eastAsia="zh-CN" w:bidi="ar-SA"/>
              </w:rPr>
            </w:pPr>
          </w:p>
        </w:tc>
      </w:tr>
      <w:tr>
        <w:tblPrEx>
          <w:tblCellMar>
            <w:top w:w="0" w:type="dxa"/>
            <w:left w:w="108" w:type="dxa"/>
            <w:bottom w:w="0" w:type="dxa"/>
            <w:right w:w="108" w:type="dxa"/>
          </w:tblCellMar>
        </w:tblPrEx>
        <w:trPr>
          <w:trHeight w:val="3191" w:hRule="exact"/>
        </w:trPr>
        <w:tc>
          <w:tcPr>
            <w:tcW w:w="13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rPr>
            </w:pPr>
            <w:r>
              <w:rPr>
                <w:rFonts w:hint="eastAsia" w:ascii="宋体" w:hAnsi="宋体" w:cs="宋体"/>
              </w:rPr>
              <w:t>WYYYCGC-2023020</w:t>
            </w:r>
            <w:r>
              <w:rPr>
                <w:rFonts w:hint="eastAsia" w:ascii="宋体" w:hAnsi="宋体" w:cs="宋体"/>
                <w:lang w:val="en-US" w:eastAsia="zh-CN"/>
              </w:rPr>
              <w:t>/04</w:t>
            </w:r>
          </w:p>
        </w:tc>
        <w:tc>
          <w:tcPr>
            <w:tcW w:w="126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压敏胶带（纸质）</w:t>
            </w:r>
          </w:p>
        </w:tc>
        <w:tc>
          <w:tcPr>
            <w:tcW w:w="3809" w:type="dxa"/>
            <w:tcBorders>
              <w:top w:val="single" w:color="auto" w:sz="4" w:space="0"/>
              <w:left w:val="nil"/>
              <w:bottom w:val="single" w:color="auto" w:sz="4" w:space="0"/>
              <w:right w:val="single" w:color="auto" w:sz="4" w:space="0"/>
            </w:tcBorders>
            <w:noWrap/>
            <w:vAlign w:val="center"/>
          </w:tcPr>
          <w:p>
            <w:pPr>
              <w:widowControl/>
              <w:numPr>
                <w:ilvl w:val="0"/>
                <w:numId w:val="0"/>
              </w:numPr>
              <w:ind w:leftChars="0"/>
              <w:jc w:val="left"/>
              <w:rPr>
                <w:rFonts w:hint="eastAsia"/>
                <w:lang w:val="en-US" w:eastAsia="zh-CN"/>
              </w:rPr>
            </w:pPr>
            <w:r>
              <w:rPr>
                <w:rFonts w:hint="eastAsia"/>
                <w:lang w:val="en-US" w:eastAsia="zh-CN"/>
              </w:rPr>
              <w:t>1.材料组成：涂有具有自粘特性的胶粘剂的胶带，胶带为纸质</w:t>
            </w:r>
          </w:p>
          <w:p>
            <w:pPr>
              <w:widowControl/>
              <w:numPr>
                <w:ilvl w:val="0"/>
                <w:numId w:val="0"/>
              </w:numPr>
              <w:ind w:leftChars="0"/>
              <w:jc w:val="left"/>
              <w:rPr>
                <w:rFonts w:hint="default"/>
                <w:lang w:val="en-US" w:eastAsia="zh-CN"/>
              </w:rPr>
            </w:pPr>
            <w:r>
              <w:rPr>
                <w:rFonts w:hint="eastAsia"/>
                <w:lang w:val="en-US" w:eastAsia="zh-CN"/>
              </w:rPr>
              <w:t>2.适用范围：适用于将敷料粘贴固定于创面或将其他医疗器械固定到人体的特定部位</w:t>
            </w:r>
          </w:p>
          <w:p>
            <w:pPr>
              <w:widowControl/>
              <w:numPr>
                <w:ilvl w:val="0"/>
                <w:numId w:val="0"/>
              </w:numPr>
              <w:ind w:left="0" w:leftChars="0" w:firstLine="0" w:firstLineChars="0"/>
              <w:jc w:val="left"/>
              <w:rPr>
                <w:rFonts w:hint="eastAsia"/>
                <w:lang w:val="en-US" w:eastAsia="zh-CN"/>
              </w:rPr>
            </w:pPr>
            <w:r>
              <w:rPr>
                <w:rFonts w:hint="eastAsia"/>
                <w:lang w:val="en-US" w:eastAsia="zh-CN"/>
              </w:rPr>
              <w:t>3.其他要求：一次性使用，不与创面直接接触，粘贴部位为完好皮肤</w:t>
            </w:r>
          </w:p>
          <w:p>
            <w:pPr>
              <w:widowControl/>
              <w:numPr>
                <w:ilvl w:val="0"/>
                <w:numId w:val="0"/>
              </w:numPr>
              <w:ind w:left="0" w:leftChars="0" w:firstLine="0" w:firstLineChars="0"/>
              <w:jc w:val="left"/>
              <w:rPr>
                <w:rFonts w:hint="eastAsia" w:ascii="Times New Roman" w:hAnsi="Times New Roman" w:eastAsia="宋体" w:cs="Times New Roman"/>
                <w:kern w:val="2"/>
                <w:sz w:val="21"/>
                <w:szCs w:val="24"/>
                <w:lang w:val="en-US" w:eastAsia="zh-CN" w:bidi="ar-SA"/>
              </w:rPr>
            </w:pPr>
          </w:p>
        </w:tc>
        <w:tc>
          <w:tcPr>
            <w:tcW w:w="1104"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170"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eastAsia"/>
                <w:color w:val="auto"/>
                <w:highlight w:val="none"/>
                <w:lang w:val="en-US" w:eastAsia="zh-CN"/>
              </w:rPr>
            </w:pPr>
            <w:r>
              <w:rPr>
                <w:rFonts w:hint="eastAsia"/>
                <w:color w:val="auto"/>
                <w:highlight w:val="none"/>
                <w:lang w:val="en-US" w:eastAsia="zh-CN"/>
              </w:rPr>
              <w:t>1.各规格单独报价</w:t>
            </w:r>
          </w:p>
          <w:p>
            <w:pPr>
              <w:widowControl/>
              <w:jc w:val="left"/>
              <w:rPr>
                <w:rFonts w:hint="eastAsia" w:ascii="宋体" w:hAnsi="宋体" w:eastAsia="宋体" w:cs="宋体"/>
                <w:kern w:val="2"/>
                <w:sz w:val="21"/>
                <w:szCs w:val="24"/>
                <w:lang w:val="en-US" w:eastAsia="zh-CN" w:bidi="ar-SA"/>
              </w:rPr>
            </w:pPr>
            <w:r>
              <w:rPr>
                <w:rFonts w:hint="eastAsia"/>
                <w:color w:val="auto"/>
                <w:highlight w:val="none"/>
                <w:lang w:val="en-US" w:eastAsia="zh-CN"/>
              </w:rPr>
              <w:t xml:space="preserve">2.必须包含10mm宽度 </w:t>
            </w:r>
          </w:p>
        </w:tc>
      </w:tr>
      <w:tr>
        <w:tblPrEx>
          <w:tblCellMar>
            <w:top w:w="0" w:type="dxa"/>
            <w:left w:w="108" w:type="dxa"/>
            <w:bottom w:w="0" w:type="dxa"/>
            <w:right w:w="108" w:type="dxa"/>
          </w:tblCellMar>
        </w:tblPrEx>
        <w:trPr>
          <w:trHeight w:val="2884" w:hRule="exact"/>
        </w:trPr>
        <w:tc>
          <w:tcPr>
            <w:tcW w:w="13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rPr>
            </w:pPr>
            <w:r>
              <w:rPr>
                <w:rFonts w:hint="eastAsia" w:ascii="宋体" w:hAnsi="宋体" w:cs="宋体"/>
              </w:rPr>
              <w:t>WYYYCGC-2023020</w:t>
            </w:r>
            <w:r>
              <w:rPr>
                <w:rFonts w:hint="eastAsia" w:ascii="宋体" w:hAnsi="宋体" w:cs="宋体"/>
                <w:lang w:val="en-US" w:eastAsia="zh-CN"/>
              </w:rPr>
              <w:t>/05</w:t>
            </w:r>
          </w:p>
        </w:tc>
        <w:tc>
          <w:tcPr>
            <w:tcW w:w="126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一次性使用肝素帽</w:t>
            </w:r>
          </w:p>
        </w:tc>
        <w:tc>
          <w:tcPr>
            <w:tcW w:w="3809" w:type="dxa"/>
            <w:tcBorders>
              <w:top w:val="single" w:color="auto" w:sz="4" w:space="0"/>
              <w:left w:val="nil"/>
              <w:bottom w:val="single" w:color="auto" w:sz="4" w:space="0"/>
              <w:right w:val="single" w:color="auto" w:sz="4" w:space="0"/>
            </w:tcBorders>
            <w:noWrap/>
            <w:vAlign w:val="center"/>
          </w:tcPr>
          <w:p>
            <w:pPr>
              <w:widowControl/>
              <w:numPr>
                <w:ilvl w:val="0"/>
                <w:numId w:val="0"/>
              </w:numPr>
              <w:ind w:leftChars="0"/>
              <w:jc w:val="left"/>
              <w:rPr>
                <w:rFonts w:hint="default" w:ascii="Times New Roman" w:hAnsi="Times New Roman" w:eastAsia="宋体" w:cs="Times New Roman"/>
                <w:color w:val="auto"/>
                <w:kern w:val="2"/>
                <w:sz w:val="21"/>
                <w:szCs w:val="24"/>
                <w:lang w:val="en-US" w:eastAsia="zh-CN" w:bidi="ar-SA"/>
              </w:rPr>
            </w:pPr>
            <w:r>
              <w:rPr>
                <w:rFonts w:hint="eastAsia" w:cs="Times New Roman"/>
                <w:kern w:val="2"/>
                <w:sz w:val="21"/>
                <w:szCs w:val="24"/>
                <w:lang w:val="en-US" w:eastAsia="zh-CN" w:bidi="ar-SA"/>
              </w:rPr>
              <w:t>1.组成部分：包括</w:t>
            </w:r>
            <w:r>
              <w:rPr>
                <w:rFonts w:hint="eastAsia" w:cs="Times New Roman"/>
                <w:color w:val="auto"/>
                <w:kern w:val="2"/>
                <w:sz w:val="21"/>
                <w:szCs w:val="24"/>
                <w:lang w:val="en-US" w:eastAsia="zh-CN" w:bidi="ar-SA"/>
              </w:rPr>
              <w:t>锁紧座和胶片等</w:t>
            </w:r>
          </w:p>
          <w:p>
            <w:pPr>
              <w:widowControl/>
              <w:numPr>
                <w:ilvl w:val="0"/>
                <w:numId w:val="0"/>
              </w:numPr>
              <w:ind w:leftChars="0"/>
              <w:jc w:val="left"/>
              <w:rPr>
                <w:rFonts w:hint="eastAsia" w:cs="Times New Roman"/>
                <w:kern w:val="2"/>
                <w:sz w:val="21"/>
                <w:szCs w:val="24"/>
                <w:lang w:val="en-US" w:eastAsia="zh-CN" w:bidi="ar-SA"/>
              </w:rPr>
            </w:pPr>
            <w:r>
              <w:rPr>
                <w:rFonts w:hint="eastAsia" w:cs="Times New Roman"/>
                <w:kern w:val="2"/>
                <w:sz w:val="21"/>
                <w:szCs w:val="24"/>
                <w:lang w:val="en-US" w:eastAsia="zh-CN" w:bidi="ar-SA"/>
              </w:rPr>
              <w:t>2.外观设计：顶端橡胶全覆盖，可穿刺面积大</w:t>
            </w:r>
          </w:p>
          <w:p>
            <w:pPr>
              <w:widowControl/>
              <w:numPr>
                <w:ilvl w:val="0"/>
                <w:numId w:val="0"/>
              </w:numPr>
              <w:ind w:leftChars="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3.灭菌要求：产品应</w:t>
            </w:r>
            <w:r>
              <w:rPr>
                <w:rFonts w:hint="eastAsia" w:ascii="Times New Roman" w:hAnsi="Times New Roman" w:eastAsia="宋体" w:cs="Times New Roman"/>
                <w:kern w:val="2"/>
                <w:sz w:val="21"/>
                <w:szCs w:val="24"/>
                <w:lang w:val="en-US" w:eastAsia="zh-CN" w:bidi="ar-SA"/>
              </w:rPr>
              <w:t>灭菌，一次性使用</w:t>
            </w:r>
          </w:p>
          <w:p>
            <w:pPr>
              <w:widowControl/>
              <w:numPr>
                <w:ilvl w:val="0"/>
                <w:numId w:val="0"/>
              </w:numPr>
              <w:ind w:leftChars="0"/>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4.适用范围：</w:t>
            </w:r>
            <w:r>
              <w:rPr>
                <w:rFonts w:hint="eastAsia" w:cs="Times New Roman"/>
                <w:color w:val="auto"/>
                <w:kern w:val="2"/>
                <w:sz w:val="21"/>
                <w:szCs w:val="24"/>
                <w:lang w:val="en-US" w:eastAsia="zh-CN" w:bidi="ar-SA"/>
              </w:rPr>
              <w:t>适用于穿刺输液，与一次性使用静脉留置针配套使用；留置导管处于非输注状态时，可通过它向里注射适量的肝素以防留置导管内形成凝血</w:t>
            </w:r>
          </w:p>
        </w:tc>
        <w:tc>
          <w:tcPr>
            <w:tcW w:w="1104" w:type="dxa"/>
            <w:tcBorders>
              <w:top w:val="single" w:color="auto" w:sz="4" w:space="0"/>
              <w:left w:val="nil"/>
              <w:bottom w:val="single" w:color="auto" w:sz="4" w:space="0"/>
              <w:right w:val="single" w:color="auto" w:sz="4" w:space="0"/>
            </w:tcBorders>
            <w:noWrap/>
            <w:vAlign w:val="center"/>
          </w:tcPr>
          <w:p>
            <w:pPr>
              <w:widowControl/>
              <w:jc w:val="left"/>
              <w:rPr>
                <w:rFonts w:hint="eastAsia" w:eastAsia="宋体"/>
                <w:lang w:val="en-US" w:eastAsia="zh-CN"/>
              </w:rPr>
            </w:pPr>
            <w:r>
              <w:rPr>
                <w:rFonts w:hint="eastAsia"/>
                <w:lang w:val="en-US" w:eastAsia="zh-CN"/>
              </w:rPr>
              <w:t>各规格</w:t>
            </w:r>
          </w:p>
        </w:tc>
        <w:tc>
          <w:tcPr>
            <w:tcW w:w="217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各规格单独报价</w:t>
            </w:r>
          </w:p>
        </w:tc>
      </w:tr>
      <w:tr>
        <w:tblPrEx>
          <w:tblCellMar>
            <w:top w:w="0" w:type="dxa"/>
            <w:left w:w="108" w:type="dxa"/>
            <w:bottom w:w="0" w:type="dxa"/>
            <w:right w:w="108" w:type="dxa"/>
          </w:tblCellMar>
        </w:tblPrEx>
        <w:trPr>
          <w:trHeight w:val="2763" w:hRule="exact"/>
        </w:trPr>
        <w:tc>
          <w:tcPr>
            <w:tcW w:w="13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cs="宋体"/>
                <w:lang w:val="en-US"/>
              </w:rPr>
            </w:pPr>
            <w:r>
              <w:rPr>
                <w:rFonts w:hint="eastAsia" w:ascii="宋体" w:hAnsi="宋体" w:cs="宋体"/>
              </w:rPr>
              <w:t>WYYYCGC-2023020</w:t>
            </w:r>
            <w:r>
              <w:rPr>
                <w:rFonts w:hint="eastAsia" w:ascii="宋体" w:hAnsi="宋体" w:cs="宋体"/>
                <w:lang w:val="en-US" w:eastAsia="zh-CN"/>
              </w:rPr>
              <w:t>/06</w:t>
            </w:r>
          </w:p>
        </w:tc>
        <w:tc>
          <w:tcPr>
            <w:tcW w:w="1269" w:type="dxa"/>
            <w:tcBorders>
              <w:top w:val="single" w:color="auto" w:sz="4" w:space="0"/>
              <w:left w:val="nil"/>
              <w:bottom w:val="single" w:color="auto" w:sz="4" w:space="0"/>
              <w:right w:val="single" w:color="auto" w:sz="4" w:space="0"/>
            </w:tcBorders>
            <w:noWrap/>
            <w:vAlign w:val="center"/>
          </w:tcPr>
          <w:p>
            <w:pPr>
              <w:widowControl/>
              <w:jc w:val="left"/>
              <w:rPr>
                <w:rFonts w:hint="eastAsia"/>
                <w:lang w:val="en-US" w:eastAsia="zh-CN"/>
              </w:rPr>
            </w:pPr>
            <w:r>
              <w:rPr>
                <w:rFonts w:hint="eastAsia"/>
                <w:lang w:val="en-US" w:eastAsia="zh-CN"/>
              </w:rPr>
              <w:t>透明伤口敷料</w:t>
            </w:r>
          </w:p>
        </w:tc>
        <w:tc>
          <w:tcPr>
            <w:tcW w:w="3809"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eastAsia" w:cs="Times New Roman"/>
                <w:kern w:val="2"/>
                <w:sz w:val="21"/>
                <w:szCs w:val="24"/>
                <w:lang w:val="en-US" w:eastAsia="zh-CN" w:bidi="ar-SA"/>
              </w:rPr>
            </w:pPr>
            <w:r>
              <w:rPr>
                <w:rFonts w:hint="eastAsia" w:cs="Times New Roman"/>
                <w:kern w:val="2"/>
                <w:sz w:val="21"/>
                <w:szCs w:val="24"/>
                <w:lang w:val="en-US" w:eastAsia="zh-CN" w:bidi="ar-SA"/>
              </w:rPr>
              <w:t xml:space="preserve">1.组成部分：包括聚氨酯薄膜、离型纸、吸收垫等 </w:t>
            </w:r>
          </w:p>
          <w:p>
            <w:pPr>
              <w:widowControl/>
              <w:numPr>
                <w:ilvl w:val="0"/>
                <w:numId w:val="0"/>
              </w:numPr>
              <w:jc w:val="left"/>
              <w:rPr>
                <w:rFonts w:hint="eastAsia" w:cs="Times New Roman"/>
                <w:kern w:val="2"/>
                <w:sz w:val="21"/>
                <w:szCs w:val="24"/>
                <w:lang w:val="en-US" w:eastAsia="zh-CN" w:bidi="ar-SA"/>
              </w:rPr>
            </w:pPr>
            <w:r>
              <w:rPr>
                <w:rFonts w:hint="eastAsia" w:cs="Times New Roman"/>
                <w:kern w:val="2"/>
                <w:sz w:val="21"/>
                <w:szCs w:val="24"/>
                <w:lang w:val="en-US" w:eastAsia="zh-CN" w:bidi="ar-SA"/>
              </w:rPr>
              <w:t>2.性能要求：具有阻水和阻菌性能                  3.灭菌要求：产品应灭菌，一次性使用            4.适用范围：适用于伤口护理或身体部位的覆盖和保护</w:t>
            </w:r>
          </w:p>
        </w:tc>
        <w:tc>
          <w:tcPr>
            <w:tcW w:w="1104"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170"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1.各规格单独报价  2.尺寸必须包含吸收垫约2.5cm*4cm和敷料约5cm*7cm</w:t>
            </w:r>
          </w:p>
        </w:tc>
      </w:tr>
      <w:tr>
        <w:tblPrEx>
          <w:tblCellMar>
            <w:top w:w="0" w:type="dxa"/>
            <w:left w:w="108" w:type="dxa"/>
            <w:bottom w:w="0" w:type="dxa"/>
            <w:right w:w="108" w:type="dxa"/>
          </w:tblCellMar>
        </w:tblPrEx>
        <w:trPr>
          <w:trHeight w:val="2719" w:hRule="exact"/>
        </w:trPr>
        <w:tc>
          <w:tcPr>
            <w:tcW w:w="13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kern w:val="2"/>
                <w:sz w:val="21"/>
                <w:szCs w:val="24"/>
                <w:lang w:val="en-US" w:eastAsia="zh-CN" w:bidi="ar-SA"/>
              </w:rPr>
            </w:pPr>
            <w:r>
              <w:rPr>
                <w:rFonts w:hint="eastAsia" w:ascii="宋体" w:hAnsi="宋体" w:cs="宋体"/>
              </w:rPr>
              <w:t>WYYYCGC-2023020</w:t>
            </w:r>
            <w:r>
              <w:rPr>
                <w:rFonts w:hint="eastAsia" w:ascii="宋体" w:hAnsi="宋体" w:cs="宋体"/>
                <w:lang w:val="en-US" w:eastAsia="zh-CN"/>
              </w:rPr>
              <w:t>/07</w:t>
            </w:r>
          </w:p>
        </w:tc>
        <w:tc>
          <w:tcPr>
            <w:tcW w:w="1269"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一次性使用吸痰管（可调）</w:t>
            </w:r>
          </w:p>
        </w:tc>
        <w:tc>
          <w:tcPr>
            <w:tcW w:w="3809"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eastAsia" w:eastAsia="宋体" w:cs="Times New Roman"/>
                <w:kern w:val="2"/>
                <w:sz w:val="21"/>
                <w:szCs w:val="24"/>
                <w:lang w:val="en-US" w:eastAsia="zh-CN" w:bidi="ar-SA"/>
              </w:rPr>
            </w:pPr>
            <w:r>
              <w:rPr>
                <w:rFonts w:hint="eastAsia" w:cs="Times New Roman"/>
                <w:kern w:val="2"/>
                <w:sz w:val="21"/>
                <w:szCs w:val="24"/>
                <w:lang w:val="en-US" w:eastAsia="zh-CN" w:bidi="ar-SA"/>
              </w:rPr>
              <w:t>1.组成部分：医用高分子材料制成，可调负压接头，带塞子，配手套</w:t>
            </w:r>
          </w:p>
          <w:p>
            <w:pPr>
              <w:widowControl/>
              <w:numPr>
                <w:ilvl w:val="0"/>
                <w:numId w:val="0"/>
              </w:numPr>
              <w:jc w:val="left"/>
              <w:rPr>
                <w:rFonts w:hint="eastAsia" w:cs="Times New Roman"/>
                <w:kern w:val="2"/>
                <w:sz w:val="21"/>
                <w:szCs w:val="24"/>
                <w:lang w:val="en-US" w:eastAsia="zh-CN" w:bidi="ar-SA"/>
              </w:rPr>
            </w:pPr>
            <w:r>
              <w:rPr>
                <w:rFonts w:hint="eastAsia" w:cs="Times New Roman"/>
                <w:kern w:val="2"/>
                <w:sz w:val="21"/>
                <w:szCs w:val="24"/>
                <w:lang w:val="en-US" w:eastAsia="zh-CN" w:bidi="ar-SA"/>
              </w:rPr>
              <w:t>2.灭菌要求：产品应无菌，一次性使用</w:t>
            </w:r>
          </w:p>
          <w:p>
            <w:pPr>
              <w:widowControl/>
              <w:numPr>
                <w:ilvl w:val="0"/>
                <w:numId w:val="0"/>
              </w:numPr>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3.适用范围：产品供医疗单位作吸引滞留在呼吸道粘膜部位的分泌物、异物及血液用</w:t>
            </w:r>
          </w:p>
        </w:tc>
        <w:tc>
          <w:tcPr>
            <w:tcW w:w="1104" w:type="dxa"/>
            <w:tcBorders>
              <w:top w:val="single" w:color="auto" w:sz="4" w:space="0"/>
              <w:left w:val="nil"/>
              <w:bottom w:val="single" w:color="auto" w:sz="4" w:space="0"/>
              <w:right w:val="single" w:color="auto" w:sz="4" w:space="0"/>
            </w:tcBorders>
            <w:noWrap/>
            <w:vAlign w:val="center"/>
          </w:tcPr>
          <w:p>
            <w:pPr>
              <w:widowControl/>
              <w:jc w:val="left"/>
              <w:rPr>
                <w:rFonts w:hint="eastAsia" w:ascii="Times New Roman" w:hAnsi="Times New Roman" w:eastAsia="宋体" w:cs="Times New Roman"/>
                <w:kern w:val="2"/>
                <w:sz w:val="21"/>
                <w:szCs w:val="24"/>
                <w:lang w:val="en-US" w:eastAsia="zh-CN" w:bidi="ar-SA"/>
              </w:rPr>
            </w:pPr>
            <w:r>
              <w:rPr>
                <w:rFonts w:hint="eastAsia"/>
                <w:lang w:val="en-US" w:eastAsia="zh-CN"/>
              </w:rPr>
              <w:t>各规格</w:t>
            </w:r>
          </w:p>
        </w:tc>
        <w:tc>
          <w:tcPr>
            <w:tcW w:w="2170"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1.各规格单独报价    2.</w:t>
            </w:r>
            <w:r>
              <w:rPr>
                <w:rFonts w:hint="eastAsia" w:ascii="宋体" w:hAnsi="宋体" w:cs="宋体"/>
                <w:color w:val="auto"/>
                <w:kern w:val="2"/>
                <w:sz w:val="21"/>
                <w:szCs w:val="24"/>
                <w:lang w:val="en-US" w:eastAsia="zh-CN" w:bidi="ar-SA"/>
              </w:rPr>
              <w:t>必须包含长度约60cm</w:t>
            </w:r>
          </w:p>
        </w:tc>
      </w:tr>
      <w:tr>
        <w:tblPrEx>
          <w:tblCellMar>
            <w:top w:w="0" w:type="dxa"/>
            <w:left w:w="108" w:type="dxa"/>
            <w:bottom w:w="0" w:type="dxa"/>
            <w:right w:w="108" w:type="dxa"/>
          </w:tblCellMar>
        </w:tblPrEx>
        <w:trPr>
          <w:trHeight w:val="3203" w:hRule="exact"/>
        </w:trPr>
        <w:tc>
          <w:tcPr>
            <w:tcW w:w="131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cs="宋体"/>
                <w:lang w:val="en-US"/>
              </w:rPr>
            </w:pPr>
            <w:r>
              <w:rPr>
                <w:rFonts w:hint="eastAsia" w:ascii="宋体" w:hAnsi="宋体" w:cs="宋体"/>
              </w:rPr>
              <w:t>WYYYCGC-2023020</w:t>
            </w:r>
            <w:r>
              <w:rPr>
                <w:rFonts w:hint="eastAsia" w:ascii="宋体" w:hAnsi="宋体" w:cs="宋体"/>
                <w:lang w:val="en-US" w:eastAsia="zh-CN"/>
              </w:rPr>
              <w:t>/08</w:t>
            </w:r>
          </w:p>
        </w:tc>
        <w:tc>
          <w:tcPr>
            <w:tcW w:w="1269" w:type="dxa"/>
            <w:tcBorders>
              <w:top w:val="single" w:color="auto" w:sz="4" w:space="0"/>
              <w:left w:val="nil"/>
              <w:bottom w:val="single" w:color="auto" w:sz="4" w:space="0"/>
              <w:right w:val="single" w:color="auto" w:sz="4" w:space="0"/>
            </w:tcBorders>
            <w:noWrap/>
            <w:vAlign w:val="center"/>
          </w:tcPr>
          <w:p>
            <w:pPr>
              <w:widowControl/>
              <w:jc w:val="left"/>
              <w:rPr>
                <w:rFonts w:hint="eastAsia"/>
                <w:lang w:val="en-US" w:eastAsia="zh-CN"/>
              </w:rPr>
            </w:pPr>
            <w:r>
              <w:rPr>
                <w:rFonts w:hint="eastAsia"/>
                <w:lang w:val="en-US" w:eastAsia="zh-CN"/>
              </w:rPr>
              <w:t>红外耳温计及耳温探头套</w:t>
            </w:r>
          </w:p>
        </w:tc>
        <w:tc>
          <w:tcPr>
            <w:tcW w:w="3809" w:type="dxa"/>
            <w:tcBorders>
              <w:top w:val="single" w:color="auto" w:sz="4" w:space="0"/>
              <w:left w:val="nil"/>
              <w:bottom w:val="single" w:color="auto" w:sz="4" w:space="0"/>
              <w:right w:val="single" w:color="auto" w:sz="4" w:space="0"/>
            </w:tcBorders>
            <w:noWrap/>
            <w:vAlign w:val="center"/>
          </w:tcPr>
          <w:p>
            <w:pPr>
              <w:widowControl/>
              <w:numPr>
                <w:ilvl w:val="0"/>
                <w:numId w:val="0"/>
              </w:numPr>
              <w:jc w:val="left"/>
              <w:rPr>
                <w:rFonts w:hint="eastAsia"/>
                <w:lang w:val="en-US" w:eastAsia="zh-CN"/>
              </w:rPr>
            </w:pPr>
            <w:r>
              <w:rPr>
                <w:rFonts w:hint="eastAsia"/>
                <w:lang w:val="en-US" w:eastAsia="zh-CN"/>
              </w:rPr>
              <w:t>1.组成部分：红外耳温计包括耳温计主机、探头、外壳支架等，其中探头由红外线传感器构成；耳温探头套</w:t>
            </w:r>
            <w:r>
              <w:rPr>
                <w:rFonts w:hint="eastAsia" w:cs="Times New Roman"/>
                <w:kern w:val="2"/>
                <w:sz w:val="21"/>
                <w:szCs w:val="24"/>
                <w:lang w:val="en-US" w:eastAsia="zh-CN" w:bidi="ar-SA"/>
              </w:rPr>
              <w:t>包括PE片、PE膜和纸或其他适用材料</w:t>
            </w:r>
          </w:p>
          <w:p>
            <w:pPr>
              <w:widowControl/>
              <w:numPr>
                <w:ilvl w:val="0"/>
                <w:numId w:val="0"/>
              </w:numPr>
              <w:jc w:val="left"/>
              <w:rPr>
                <w:rFonts w:hint="eastAsia"/>
                <w:lang w:val="en-US" w:eastAsia="zh-CN"/>
              </w:rPr>
            </w:pPr>
            <w:r>
              <w:rPr>
                <w:rFonts w:hint="eastAsia"/>
                <w:lang w:val="en-US" w:eastAsia="zh-CN"/>
              </w:rPr>
              <w:t>2.适用范围：红外耳温计适用于通过测量耳腔的热辐射显示被测人体耳腔体温</w:t>
            </w:r>
          </w:p>
          <w:p>
            <w:pPr>
              <w:widowControl/>
              <w:numPr>
                <w:ilvl w:val="0"/>
                <w:numId w:val="0"/>
              </w:numPr>
              <w:jc w:val="left"/>
              <w:rPr>
                <w:rFonts w:hint="eastAsia" w:cs="Times New Roman"/>
                <w:kern w:val="2"/>
                <w:sz w:val="21"/>
                <w:szCs w:val="24"/>
                <w:lang w:val="en-US" w:eastAsia="zh-CN" w:bidi="ar-SA"/>
              </w:rPr>
            </w:pPr>
            <w:r>
              <w:rPr>
                <w:rFonts w:hint="eastAsia"/>
                <w:lang w:val="en-US" w:eastAsia="zh-CN"/>
              </w:rPr>
              <w:t>；耳温探头套适用于隔离耳温计探头与检查对象，预防交叉感染</w:t>
            </w:r>
          </w:p>
        </w:tc>
        <w:tc>
          <w:tcPr>
            <w:tcW w:w="1104" w:type="dxa"/>
            <w:tcBorders>
              <w:top w:val="single" w:color="auto" w:sz="4" w:space="0"/>
              <w:left w:val="nil"/>
              <w:bottom w:val="single" w:color="auto" w:sz="4" w:space="0"/>
              <w:right w:val="single" w:color="auto" w:sz="4" w:space="0"/>
            </w:tcBorders>
            <w:noWrap/>
            <w:vAlign w:val="center"/>
          </w:tcPr>
          <w:p>
            <w:pPr>
              <w:widowControl/>
              <w:jc w:val="left"/>
              <w:rPr>
                <w:rFonts w:hint="eastAsia"/>
                <w:lang w:val="en-US" w:eastAsia="zh-CN"/>
              </w:rPr>
            </w:pPr>
            <w:r>
              <w:rPr>
                <w:rFonts w:hint="eastAsia"/>
                <w:lang w:val="en-US" w:eastAsia="zh-CN"/>
              </w:rPr>
              <w:t>各规格</w:t>
            </w:r>
          </w:p>
        </w:tc>
        <w:tc>
          <w:tcPr>
            <w:tcW w:w="217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各规格单独报价</w:t>
            </w:r>
            <w:r>
              <w:rPr>
                <w:rFonts w:hint="eastAsia" w:ascii="宋体" w:hAnsi="宋体" w:cs="宋体"/>
                <w:sz w:val="21"/>
                <w:szCs w:val="21"/>
                <w:lang w:val="en-US" w:eastAsia="zh-CN"/>
              </w:rPr>
              <w:t>；拟中选供应商数</w:t>
            </w:r>
            <w:r>
              <w:rPr>
                <w:rFonts w:hint="default" w:ascii="Arial" w:hAnsi="Arial" w:cs="Arial"/>
                <w:sz w:val="21"/>
                <w:szCs w:val="21"/>
                <w:lang w:val="en-US" w:eastAsia="zh-CN"/>
              </w:rPr>
              <w:t>≤</w:t>
            </w:r>
            <w:r>
              <w:rPr>
                <w:rFonts w:hint="eastAsia" w:ascii="宋体" w:hAnsi="宋体" w:cs="宋体"/>
                <w:sz w:val="21"/>
                <w:szCs w:val="21"/>
                <w:lang w:val="en-US" w:eastAsia="zh-CN"/>
              </w:rPr>
              <w:t>2家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GI5YzA1MzRiNjNiNjBkOTAzOWFjYThmYmFhMmMifQ=="/>
  </w:docVars>
  <w:rsids>
    <w:rsidRoot w:val="20304C1A"/>
    <w:rsid w:val="2030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snapToGrid/>
      <w:kern w:val="44"/>
      <w:sz w:val="36"/>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2023-06-12T08:08:00Z</dcterms:created>
  <dc:creator>章铭</dc:creator>
  <cp:lastModifiedBy>章铭</cp:lastModifiedBy>
  <dcterms:modified xsi:type="dcterms:W3CDTF">2023-06-12T08:08:41Z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B48F72DB979C4ADF8C50C248DEFEF57F_11</vt:lpwstr>
  </property>
</Properties>
</file>