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一次性使用椎间盘穿刺针项目</w:t>
      </w:r>
      <w:r>
        <w:rPr>
          <w:rFonts w:hint="eastAsia"/>
          <w:sz w:val="21"/>
          <w:szCs w:val="21"/>
          <w:lang w:val="en-US" w:eastAsia="zh-CN"/>
        </w:rPr>
        <w:t>公开采购</w:t>
      </w:r>
      <w:r>
        <w:rPr>
          <w:rFonts w:hint="eastAsia"/>
          <w:sz w:val="21"/>
          <w:szCs w:val="21"/>
          <w:lang w:val="en-US"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</w:t>
      </w:r>
      <w:r>
        <w:rPr>
          <w:rFonts w:hint="eastAsia"/>
          <w:sz w:val="21"/>
          <w:szCs w:val="21"/>
          <w:lang w:val="en-US" w:eastAsia="zh-CN"/>
        </w:rPr>
        <w:t>WYYYCGC-2023038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WYYYCGC-2023038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一次性使用椎间盘穿刺针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浙江物产中大医药有限公司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5B97E0B"/>
    <w:rsid w:val="17842822"/>
    <w:rsid w:val="42447A02"/>
    <w:rsid w:val="78164E80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98</Characters>
  <Lines>0</Lines>
  <Paragraphs>0</Paragraphs>
  <TotalTime>0</TotalTime>
  <ScaleCrop>false</ScaleCrop>
  <LinksUpToDate>false</LinksUpToDate>
  <CharactersWithSpaces>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2023-06-28T06:22:01Z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