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97" w:tblpY="416"/>
        <w:tblOverlap w:val="never"/>
        <w:tblW w:w="9669" w:type="dxa"/>
        <w:tblInd w:w="0" w:type="dxa"/>
        <w:tblLayout w:type="fixed"/>
        <w:tblCellMar>
          <w:top w:w="0" w:type="dxa"/>
          <w:left w:w="108" w:type="dxa"/>
          <w:bottom w:w="0" w:type="dxa"/>
          <w:right w:w="108" w:type="dxa"/>
        </w:tblCellMar>
      </w:tblPr>
      <w:tblGrid>
        <w:gridCol w:w="1203"/>
        <w:gridCol w:w="1383"/>
        <w:gridCol w:w="3093"/>
        <w:gridCol w:w="1746"/>
        <w:gridCol w:w="2244"/>
      </w:tblGrid>
      <w:tr>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30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7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lang w:eastAsia="zh-CN"/>
              </w:rPr>
              <w:t>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lang w:eastAsia="zh-CN"/>
              </w:rPr>
              <w:t>备注</w:t>
            </w: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w:t>
            </w:r>
            <w:r>
              <w:rPr>
                <w:rFonts w:hint="eastAsia" w:asciiTheme="minorEastAsia" w:hAnsiTheme="minorEastAsia" w:eastAsiaTheme="minorEastAsia" w:cstheme="minorEastAsia"/>
                <w:sz w:val="18"/>
                <w:szCs w:val="18"/>
                <w:lang w:val="en-US" w:eastAsia="zh-CN"/>
              </w:rPr>
              <w:t>49</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bookmarkStart w:id="0" w:name="_GoBack"/>
            <w:r>
              <w:rPr>
                <w:rFonts w:hint="eastAsia" w:ascii="宋体" w:hAnsi="宋体" w:cs="宋体"/>
                <w:highlight w:val="none"/>
                <w:lang w:val="en-US" w:eastAsia="zh-CN"/>
              </w:rPr>
              <w:t>一次性使用冠脉血管内冲击波导管</w:t>
            </w:r>
            <w:bookmarkEnd w:id="0"/>
          </w:p>
        </w:tc>
        <w:tc>
          <w:tcPr>
            <w:tcW w:w="30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cs="宋体"/>
                <w:highlight w:val="none"/>
                <w:lang w:val="en-US" w:eastAsia="zh-CN"/>
              </w:rPr>
            </w:pPr>
            <w:r>
              <w:rPr>
                <w:rFonts w:hint="eastAsia" w:ascii="宋体" w:hAnsi="宋体" w:cs="宋体"/>
                <w:highlight w:val="none"/>
                <w:lang w:val="en-US" w:eastAsia="zh-CN"/>
              </w:rPr>
              <w:t>1、结构组成：由球囊、导管轴、导管座、充盈端口、导丝出口、连接器和脉冲发射器等组成；</w:t>
            </w:r>
          </w:p>
          <w:p>
            <w:pPr>
              <w:keepNext w:val="0"/>
              <w:keepLines w:val="0"/>
              <w:widowControl/>
              <w:suppressLineNumbers w:val="0"/>
              <w:jc w:val="left"/>
              <w:textAlignment w:val="center"/>
              <w:rPr>
                <w:rFonts w:hint="eastAsia" w:ascii="宋体" w:hAnsi="宋体" w:cs="宋体"/>
                <w:highlight w:val="none"/>
                <w:lang w:val="en-US" w:eastAsia="zh-CN"/>
              </w:rPr>
            </w:pPr>
            <w:r>
              <w:rPr>
                <w:rFonts w:hint="eastAsia" w:ascii="宋体" w:hAnsi="宋体" w:cs="宋体"/>
                <w:highlight w:val="none"/>
                <w:lang w:val="en-US" w:eastAsia="zh-CN"/>
              </w:rPr>
              <w:t>2、适用范围：适用于支架植入术前对原发性冠状动脉的钙化病变进行预处理及球囊扩张。</w:t>
            </w:r>
          </w:p>
          <w:p>
            <w:pPr>
              <w:keepNext w:val="0"/>
              <w:keepLines w:val="0"/>
              <w:widowControl/>
              <w:suppressLineNumbers w:val="0"/>
              <w:jc w:val="left"/>
              <w:textAlignment w:val="center"/>
              <w:rPr>
                <w:rFonts w:hint="default"/>
                <w:lang w:val="en-US" w:eastAsia="zh-CN"/>
              </w:rPr>
            </w:pPr>
            <w:r>
              <w:rPr>
                <w:rFonts w:hint="eastAsia" w:ascii="宋体" w:hAnsi="宋体" w:cs="宋体"/>
                <w:highlight w:val="none"/>
                <w:lang w:val="en-US" w:eastAsia="zh-CN"/>
              </w:rPr>
              <w:t>3、其他要求：一次性使用，灭菌提供。</w:t>
            </w:r>
            <w:r>
              <w:rPr>
                <w:rFonts w:hint="eastAsia"/>
                <w:lang w:val="en-US" w:eastAsia="zh-CN"/>
              </w:rPr>
              <w:t xml:space="preserve">                    </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2JjOGVmZTc4NGM3YTc5N2E2ZmZlMDE2NzZjYTcifQ=="/>
  </w:docVars>
  <w:rsids>
    <w:rsidRoot w:val="433A69F3"/>
    <w:rsid w:val="433A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154</Characters>
  <Lines>0</Lines>
  <Paragraphs>0</Paragraphs>
  <TotalTime>0</TotalTime>
  <ScaleCrop>false</ScaleCrop>
  <LinksUpToDate>false</LinksUpToDate>
  <CharactersWithSpaces>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2023-07-06T06:56:00Z</dcterms:created>
  <dc:creator>异元间极亮物</dc:creator>
  <cp:lastModifiedBy>异元间极亮物</cp:lastModifiedBy>
  <dcterms:modified xsi:type="dcterms:W3CDTF">2023-07-06T06:56:48Z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657D6195627F4CF8B914FD22BDDBCC83_11</vt:lpwstr>
  </property>
</Properties>
</file>