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附件1</w:t>
      </w:r>
    </w:p>
    <w:p>
      <w:pPr>
        <w:jc w:val="center"/>
        <w:rPr>
          <w:rFonts w:ascii="仿宋" w:hAnsi="仿宋" w:eastAsia="仿宋" w:cs="仿宋"/>
          <w:b/>
          <w:bCs/>
          <w:sz w:val="40"/>
          <w:szCs w:val="40"/>
        </w:rPr>
      </w:pPr>
      <w:r>
        <w:rPr>
          <w:rFonts w:hint="eastAsia" w:ascii="仿宋" w:hAnsi="仿宋" w:eastAsia="仿宋" w:cs="仿宋"/>
          <w:b/>
          <w:bCs/>
          <w:sz w:val="40"/>
          <w:szCs w:val="40"/>
        </w:rPr>
        <w:t>温州医科大学附属第一医院</w:t>
      </w:r>
    </w:p>
    <w:p>
      <w:pPr>
        <w:jc w:val="center"/>
        <w:rPr>
          <w:rFonts w:ascii="仿宋" w:hAnsi="仿宋" w:eastAsia="仿宋" w:cs="仿宋"/>
          <w:b/>
          <w:bCs/>
          <w:sz w:val="40"/>
          <w:szCs w:val="40"/>
        </w:rPr>
      </w:pPr>
      <w:r>
        <w:rPr>
          <w:rFonts w:hint="eastAsia" w:ascii="仿宋" w:hAnsi="仿宋" w:eastAsia="仿宋" w:cs="仿宋"/>
          <w:b/>
          <w:bCs/>
          <w:sz w:val="40"/>
          <w:szCs w:val="40"/>
        </w:rPr>
        <w:t>科技成果转化公示表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46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科技成果名称</w:t>
            </w:r>
          </w:p>
        </w:tc>
        <w:tc>
          <w:tcPr>
            <w:tcW w:w="6011" w:type="dxa"/>
            <w:gridSpan w:val="2"/>
          </w:tcPr>
          <w:p>
            <w:pPr>
              <w:spacing w:line="360" w:lineRule="auto"/>
              <w:jc w:val="center"/>
              <w:rPr>
                <w:rFonts w:hint="eastAsia" w:ascii="仿宋" w:hAnsi="仿宋" w:eastAsia="仿宋" w:cstheme="majorEastAsia"/>
                <w:kern w:val="0"/>
                <w:sz w:val="22"/>
                <w:szCs w:val="22"/>
                <w:lang w:val="en-US" w:eastAsia="zh-CN"/>
              </w:rPr>
            </w:pPr>
            <w:r>
              <w:rPr>
                <w:rFonts w:hint="eastAsia" w:ascii="仿宋" w:hAnsi="仿宋" w:eastAsia="仿宋" w:cstheme="majorEastAsia"/>
                <w:kern w:val="0"/>
                <w:sz w:val="22"/>
                <w:szCs w:val="22"/>
              </w:rPr>
              <w:t>一种体内植入物回收装置</w:t>
            </w:r>
          </w:p>
          <w:p>
            <w:pPr>
              <w:spacing w:line="360" w:lineRule="auto"/>
              <w:ind w:firstLine="220" w:firstLineChars="100"/>
              <w:jc w:val="center"/>
              <w:rPr>
                <w:rFonts w:hint="eastAsia" w:ascii="仿宋" w:hAnsi="仿宋" w:eastAsia="仿宋" w:cstheme="majorEastAsia"/>
                <w:kern w:val="0"/>
                <w:sz w:val="22"/>
                <w:szCs w:val="22"/>
                <w:lang w:val="en-US" w:eastAsia="zh-CN"/>
              </w:rPr>
            </w:pPr>
            <w:r>
              <w:rPr>
                <w:rFonts w:hint="eastAsia" w:ascii="仿宋" w:hAnsi="仿宋" w:eastAsia="仿宋" w:cstheme="majorEastAsia"/>
                <w:kern w:val="0"/>
                <w:sz w:val="22"/>
                <w:szCs w:val="22"/>
                <w:lang w:val="en-US" w:eastAsia="zh-CN"/>
              </w:rPr>
              <w:t>专利号：</w:t>
            </w:r>
            <w:r>
              <w:rPr>
                <w:rFonts w:ascii="仿宋" w:hAnsi="仿宋" w:eastAsia="仿宋" w:cstheme="majorEastAsia"/>
                <w:kern w:val="0"/>
                <w:sz w:val="22"/>
                <w:szCs w:val="22"/>
              </w:rPr>
              <w:t>202320577422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成果完成人</w:t>
            </w:r>
          </w:p>
        </w:tc>
        <w:tc>
          <w:tcPr>
            <w:tcW w:w="6011" w:type="dxa"/>
            <w:gridSpan w:val="2"/>
          </w:tcPr>
          <w:p>
            <w:pPr>
              <w:jc w:val="center"/>
              <w:rPr>
                <w:rFonts w:ascii="仿宋" w:hAnsi="仿宋" w:eastAsia="仿宋" w:cstheme="majorEastAsia"/>
                <w:kern w:val="0"/>
                <w:sz w:val="21"/>
                <w:szCs w:val="22"/>
              </w:rPr>
            </w:pPr>
            <w:r>
              <w:rPr>
                <w:rFonts w:hint="eastAsia" w:ascii="仿宋" w:hAnsi="仿宋" w:eastAsia="仿宋" w:cstheme="majorEastAsia"/>
                <w:kern w:val="0"/>
                <w:sz w:val="21"/>
                <w:szCs w:val="22"/>
              </w:rPr>
              <w:t>苏蓝 黄伟剑 黄周青 单培仁 陈骁 吴圣杰 陈晨 查方迪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转化方式</w:t>
            </w:r>
          </w:p>
        </w:tc>
        <w:tc>
          <w:tcPr>
            <w:tcW w:w="6011" w:type="dxa"/>
            <w:gridSpan w:val="2"/>
          </w:tcPr>
          <w:p>
            <w:pPr>
              <w:jc w:val="center"/>
              <w:rPr>
                <w:rFonts w:ascii="仿宋" w:hAnsi="仿宋" w:eastAsia="仿宋" w:cstheme="majorEastAsia"/>
                <w:kern w:val="0"/>
                <w:sz w:val="18"/>
                <w:szCs w:val="18"/>
              </w:rPr>
            </w:pPr>
            <w:r>
              <w:rPr>
                <w:rFonts w:hint="eastAsia" w:ascii="仿宋" w:hAnsi="仿宋" w:eastAsia="仿宋" w:cstheme="majorEastAsia"/>
                <w:kern w:val="0"/>
                <w:sz w:val="18"/>
                <w:szCs w:val="18"/>
              </w:rPr>
              <w:t xml:space="preserve">□普通许可 </w:t>
            </w:r>
            <w:r>
              <w:rPr>
                <w:rFonts w:hint="eastAsia" w:ascii="仿宋" w:hAnsi="仿宋" w:eastAsia="仿宋" w:cstheme="majorEastAsia"/>
                <w:kern w:val="0"/>
                <w:sz w:val="18"/>
                <w:szCs w:val="18"/>
              </w:rPr>
              <w:sym w:font="Wingdings 2" w:char="00A3"/>
            </w:r>
            <w:r>
              <w:rPr>
                <w:rFonts w:hint="eastAsia" w:ascii="仿宋" w:hAnsi="仿宋" w:eastAsia="仿宋" w:cstheme="majorEastAsia"/>
                <w:kern w:val="0"/>
                <w:sz w:val="18"/>
                <w:szCs w:val="18"/>
              </w:rPr>
              <w:t>排他许可 □独占许可</w:t>
            </w:r>
          </w:p>
          <w:p>
            <w:pPr>
              <w:jc w:val="center"/>
              <w:rPr>
                <w:rFonts w:ascii="仿宋" w:hAnsi="仿宋" w:eastAsia="仿宋" w:cstheme="majorEastAsia"/>
                <w:kern w:val="0"/>
                <w:sz w:val="21"/>
                <w:szCs w:val="22"/>
              </w:rPr>
            </w:pPr>
            <w:r>
              <w:rPr>
                <w:rFonts w:hint="eastAsia" w:ascii="仿宋" w:hAnsi="仿宋" w:eastAsia="仿宋" w:cstheme="majorEastAsia"/>
                <w:kern w:val="0"/>
                <w:sz w:val="20"/>
                <w:szCs w:val="18"/>
              </w:rPr>
              <w:sym w:font="Wingdings 2" w:char="0052"/>
            </w:r>
            <w:r>
              <w:rPr>
                <w:rFonts w:hint="eastAsia" w:ascii="仿宋" w:hAnsi="仿宋" w:eastAsia="仿宋" w:cstheme="majorEastAsia"/>
                <w:kern w:val="0"/>
                <w:sz w:val="18"/>
                <w:szCs w:val="18"/>
              </w:rPr>
              <w:t>转 让    □作价投资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转化价格</w:t>
            </w:r>
          </w:p>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（价格确定方式）</w:t>
            </w:r>
          </w:p>
        </w:tc>
        <w:tc>
          <w:tcPr>
            <w:tcW w:w="6011" w:type="dxa"/>
            <w:gridSpan w:val="2"/>
          </w:tcPr>
          <w:p>
            <w:pPr>
              <w:jc w:val="left"/>
              <w:rPr>
                <w:rFonts w:ascii="仿宋" w:hAnsi="仿宋" w:eastAsia="仿宋" w:cstheme="majorEastAsia"/>
                <w:kern w:val="0"/>
                <w:sz w:val="20"/>
                <w:szCs w:val="20"/>
              </w:rPr>
            </w:pPr>
            <w:r>
              <w:rPr>
                <w:rFonts w:hint="eastAsia" w:ascii="仿宋" w:hAnsi="仿宋" w:eastAsia="仿宋" w:cstheme="majorEastAsia"/>
                <w:kern w:val="0"/>
                <w:sz w:val="20"/>
                <w:szCs w:val="20"/>
              </w:rPr>
              <w:t>科技成果价值评估报告（</w:t>
            </w:r>
            <w:r>
              <w:rPr>
                <w:rFonts w:hint="eastAsia" w:ascii="仿宋" w:hAnsi="仿宋" w:eastAsia="仿宋" w:cstheme="majorEastAsia"/>
                <w:kern w:val="0"/>
                <w:sz w:val="21"/>
                <w:szCs w:val="20"/>
              </w:rPr>
              <w:t>□</w:t>
            </w:r>
            <w:r>
              <w:rPr>
                <w:rFonts w:hint="eastAsia" w:ascii="仿宋" w:hAnsi="仿宋" w:eastAsia="仿宋" w:cstheme="majorEastAsia"/>
                <w:kern w:val="0"/>
                <w:sz w:val="20"/>
                <w:szCs w:val="20"/>
              </w:rPr>
              <w:t xml:space="preserve">有 </w:t>
            </w:r>
            <w:r>
              <w:rPr>
                <w:rFonts w:hint="eastAsia" w:ascii="仿宋" w:hAnsi="仿宋" w:eastAsia="仿宋" w:cstheme="majorEastAsia"/>
                <w:kern w:val="0"/>
                <w:sz w:val="20"/>
                <w:szCs w:val="20"/>
              </w:rPr>
              <w:sym w:font="Wingdings 2" w:char="0052"/>
            </w:r>
            <w:r>
              <w:rPr>
                <w:rFonts w:hint="eastAsia" w:ascii="仿宋" w:hAnsi="仿宋" w:eastAsia="仿宋" w:cstheme="majorEastAsia"/>
                <w:kern w:val="0"/>
                <w:sz w:val="20"/>
                <w:szCs w:val="20"/>
              </w:rPr>
              <w:t>否）</w:t>
            </w:r>
          </w:p>
          <w:p>
            <w:pPr>
              <w:jc w:val="left"/>
              <w:rPr>
                <w:rFonts w:ascii="仿宋" w:hAnsi="仿宋" w:eastAsia="仿宋" w:cstheme="majorEastAsia"/>
                <w:kern w:val="0"/>
                <w:sz w:val="20"/>
                <w:szCs w:val="20"/>
              </w:rPr>
            </w:pPr>
            <w:r>
              <w:rPr>
                <w:rFonts w:hint="eastAsia" w:ascii="仿宋" w:hAnsi="仿宋" w:eastAsia="仿宋" w:cstheme="majorEastAsia"/>
                <w:kern w:val="0"/>
                <w:sz w:val="20"/>
                <w:szCs w:val="20"/>
              </w:rPr>
              <w:t>□协议作价 价格：</w:t>
            </w:r>
          </w:p>
          <w:p>
            <w:pPr>
              <w:jc w:val="left"/>
              <w:rPr>
                <w:rFonts w:hint="eastAsia" w:ascii="仿宋" w:hAnsi="仿宋" w:eastAsia="仿宋" w:cstheme="majorEastAsia"/>
                <w:kern w:val="0"/>
                <w:sz w:val="20"/>
                <w:szCs w:val="20"/>
              </w:rPr>
            </w:pPr>
            <w:r>
              <w:rPr>
                <w:rFonts w:hint="eastAsia" w:ascii="仿宋" w:hAnsi="仿宋" w:eastAsia="仿宋" w:cstheme="majorEastAsia"/>
                <w:kern w:val="0"/>
                <w:sz w:val="21"/>
                <w:szCs w:val="20"/>
              </w:rPr>
              <w:sym w:font="Wingdings 2" w:char="0052"/>
            </w:r>
            <w:r>
              <w:rPr>
                <w:rFonts w:hint="eastAsia" w:ascii="仿宋" w:hAnsi="仿宋" w:eastAsia="仿宋" w:cstheme="majorEastAsia"/>
                <w:kern w:val="0"/>
                <w:sz w:val="20"/>
                <w:szCs w:val="20"/>
              </w:rPr>
              <w:t>挂牌交易 挂牌价：贰拾  万元整（￥200</w:t>
            </w:r>
            <w:r>
              <w:rPr>
                <w:rFonts w:hint="eastAsia" w:ascii="仿宋" w:hAnsi="仿宋" w:eastAsia="仿宋" w:cstheme="majorEastAsia"/>
                <w:kern w:val="0"/>
                <w:sz w:val="20"/>
                <w:szCs w:val="20"/>
                <w:lang w:val="en-US" w:eastAsia="zh-CN"/>
              </w:rPr>
              <w:t>,</w:t>
            </w:r>
            <w:r>
              <w:rPr>
                <w:rFonts w:hint="eastAsia" w:ascii="仿宋" w:hAnsi="仿宋" w:eastAsia="仿宋" w:cstheme="majorEastAsia"/>
                <w:kern w:val="0"/>
                <w:sz w:val="20"/>
                <w:szCs w:val="20"/>
              </w:rPr>
              <w:t>000.00）</w:t>
            </w:r>
          </w:p>
          <w:p>
            <w:pPr>
              <w:jc w:val="left"/>
              <w:rPr>
                <w:rFonts w:ascii="仿宋" w:hAnsi="仿宋" w:eastAsia="仿宋" w:cstheme="majorEastAsia"/>
                <w:kern w:val="0"/>
                <w:sz w:val="21"/>
                <w:szCs w:val="22"/>
                <w:u w:val="single"/>
              </w:rPr>
            </w:pPr>
            <w:r>
              <w:rPr>
                <w:rFonts w:hint="eastAsia" w:ascii="仿宋" w:hAnsi="仿宋" w:eastAsia="仿宋" w:cstheme="majorEastAsia"/>
                <w:kern w:val="0"/>
                <w:sz w:val="20"/>
                <w:szCs w:val="20"/>
              </w:rPr>
              <w:t>□拍卖 起拍价：最低成交价：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11" w:type="dxa"/>
            <w:vMerge w:val="restart"/>
            <w:vAlign w:val="center"/>
          </w:tcPr>
          <w:p>
            <w:pPr>
              <w:jc w:val="center"/>
              <w:rPr>
                <w:rFonts w:asciiTheme="majorEastAsia" w:hAnsiTheme="majorEastAsia" w:eastAsiaTheme="majorEastAsia" w:cstheme="majorEastAsia"/>
                <w:b/>
                <w:bCs/>
                <w:kern w:val="0"/>
                <w:sz w:val="28"/>
                <w:szCs w:val="36"/>
                <w:highlight w:val="yellow"/>
              </w:rPr>
            </w:pPr>
            <w:r>
              <w:rPr>
                <w:rFonts w:hint="eastAsia" w:asciiTheme="majorEastAsia" w:hAnsiTheme="majorEastAsia" w:eastAsiaTheme="majorEastAsia" w:cstheme="majorEastAsia"/>
                <w:b/>
                <w:bCs/>
                <w:kern w:val="0"/>
                <w:sz w:val="28"/>
                <w:szCs w:val="36"/>
              </w:rPr>
              <w:t>内容摘要</w:t>
            </w:r>
          </w:p>
        </w:tc>
        <w:tc>
          <w:tcPr>
            <w:tcW w:w="4466" w:type="dxa"/>
          </w:tcPr>
          <w:p>
            <w:pPr>
              <w:jc w:val="left"/>
              <w:rPr>
                <w:rFonts w:ascii="仿宋" w:hAnsi="仿宋" w:eastAsia="仿宋" w:cstheme="majorEastAsia"/>
                <w:kern w:val="0"/>
                <w:sz w:val="18"/>
                <w:szCs w:val="18"/>
              </w:rPr>
            </w:pPr>
            <w:r>
              <w:rPr>
                <w:rFonts w:hint="eastAsia" w:ascii="仿宋" w:hAnsi="仿宋" w:eastAsia="仿宋" w:cstheme="majorEastAsia"/>
                <w:kern w:val="0"/>
                <w:sz w:val="20"/>
                <w:szCs w:val="18"/>
              </w:rPr>
              <w:t>拟受让方是否是成果完成人或者利害关系人</w:t>
            </w:r>
          </w:p>
        </w:tc>
        <w:tc>
          <w:tcPr>
            <w:tcW w:w="1545" w:type="dxa"/>
          </w:tcPr>
          <w:p>
            <w:pPr>
              <w:jc w:val="left"/>
              <w:rPr>
                <w:rFonts w:ascii="仿宋" w:hAnsi="仿宋" w:eastAsia="仿宋" w:cstheme="majorEastAsia"/>
                <w:kern w:val="0"/>
                <w:sz w:val="20"/>
                <w:szCs w:val="18"/>
              </w:rPr>
            </w:pPr>
            <w:r>
              <w:rPr>
                <w:rFonts w:hint="eastAsia" w:ascii="仿宋" w:hAnsi="仿宋" w:eastAsia="仿宋" w:cstheme="majorEastAsia"/>
                <w:kern w:val="0"/>
                <w:sz w:val="20"/>
                <w:szCs w:val="18"/>
              </w:rPr>
              <w:t>是□ 否</w:t>
            </w:r>
            <w:r>
              <w:rPr>
                <w:rFonts w:hint="eastAsia" w:ascii="仿宋" w:hAnsi="仿宋" w:eastAsia="仿宋" w:cstheme="majorEastAsia"/>
                <w:kern w:val="0"/>
                <w:sz w:val="20"/>
                <w:szCs w:val="18"/>
              </w:rPr>
              <w:sym w:font="Wingdings 2" w:char="0052"/>
            </w:r>
          </w:p>
          <w:p>
            <w:pPr>
              <w:jc w:val="left"/>
              <w:rPr>
                <w:rFonts w:ascii="仿宋" w:hAnsi="仿宋" w:eastAsia="仿宋" w:cstheme="majorEastAsia"/>
                <w:kern w:val="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511" w:type="dxa"/>
            <w:vMerge w:val="continue"/>
            <w:vAlign w:val="center"/>
          </w:tcPr>
          <w:p>
            <w:pPr>
              <w:jc w:val="center"/>
              <w:rPr>
                <w:rFonts w:asciiTheme="majorEastAsia" w:hAnsiTheme="majorEastAsia" w:eastAsiaTheme="majorEastAsia" w:cstheme="majorEastAsia"/>
                <w:b/>
                <w:bCs/>
                <w:kern w:val="0"/>
                <w:sz w:val="28"/>
                <w:szCs w:val="36"/>
                <w:highlight w:val="yellow"/>
              </w:rPr>
            </w:pPr>
          </w:p>
        </w:tc>
        <w:tc>
          <w:tcPr>
            <w:tcW w:w="6011" w:type="dxa"/>
            <w:gridSpan w:val="2"/>
          </w:tcPr>
          <w:p>
            <w:pPr>
              <w:pStyle w:val="2"/>
              <w:ind w:firstLine="420"/>
              <w:rPr>
                <w:rFonts w:hint="eastAsia" w:ascii="仿宋" w:hAnsi="仿宋" w:eastAsia="仿宋" w:cs="仿宋"/>
                <w:kern w:val="0"/>
                <w:sz w:val="21"/>
                <w:szCs w:val="22"/>
              </w:rPr>
            </w:pPr>
            <w:r>
              <w:rPr>
                <w:rFonts w:hint="eastAsia" w:ascii="仿宋" w:hAnsi="仿宋" w:eastAsia="仿宋" w:cs="仿宋"/>
                <w:kern w:val="0"/>
                <w:sz w:val="21"/>
                <w:szCs w:val="22"/>
              </w:rPr>
              <w:t xml:space="preserve">本实用新型涉及医疗器械领域，具体是一种经下腔静脉途径的体内植入物回收装置。随着国内每年心脏起搏器、埋藏式心脏转复除颤器、心脏再同步化治疗等 心脏植入型医疗器械植入量的增加以及老年患者的占比增高，电极导线断裂、电极磨损等相关远期并发症和问题也逐年增多，这使得电极导线回收的需求快 速增长。经静脉介入方法回收电极导线，将回收装置经下腔静脉递送至心脏回收装置捕获并装载需回收的电极导线，最后电极导线随回收装置一同撤出体外，完成电极导线的回收，具有费用低、创伤小等优点。目前一款实心电极导线自 2011 年开始在国内投入临床运用，逐年以万例的数量累积增加，由于无法采用锁定探针经机械切割鞘移除电极，积累需要移除的临床问题也逐渐增多。该导线从下腔静脉途径抓捕后移除相对安全，但目前临床缺乏有效并安全的移除工具。 </w:t>
            </w:r>
            <w:bookmarkStart w:id="0" w:name="_GoBack"/>
            <w:bookmarkEnd w:id="0"/>
          </w:p>
          <w:p>
            <w:pPr>
              <w:pStyle w:val="2"/>
              <w:ind w:firstLine="420"/>
              <w:rPr>
                <w:rFonts w:hint="eastAsia" w:ascii="仿宋" w:hAnsi="仿宋" w:eastAsia="仿宋" w:cs="仿宋"/>
                <w:kern w:val="0"/>
                <w:sz w:val="21"/>
                <w:szCs w:val="21"/>
                <w:lang w:val="en-US" w:eastAsia="zh-Hans" w:bidi="ar-SA"/>
              </w:rPr>
            </w:pPr>
            <w:r>
              <w:rPr>
                <w:rFonts w:hint="eastAsia" w:ascii="仿宋" w:hAnsi="仿宋" w:eastAsia="仿宋" w:cs="仿宋"/>
                <w:kern w:val="0"/>
                <w:sz w:val="21"/>
                <w:szCs w:val="22"/>
              </w:rPr>
              <w:t>本实用新型工具是为了克服现有技术存在的缺点和不足，提供一种经下腔静脉途径的可调弯度的回收装置，该回收装置可高效且牢固捕获并移除废用电极导线，具备安全和有效性，填补了现有临床空白，满足今后长期的临床需求，具有良好发展前景及市场空间。</w:t>
            </w:r>
          </w:p>
          <w:p>
            <w:pPr>
              <w:ind w:firstLine="420" w:firstLineChars="200"/>
              <w:jc w:val="left"/>
              <w:rPr>
                <w:rFonts w:hint="eastAsia" w:ascii="仿宋" w:hAnsi="仿宋" w:eastAsia="仿宋" w:cstheme="majorEastAsia"/>
                <w:kern w:val="0"/>
                <w:sz w:val="21"/>
                <w:szCs w:val="18"/>
                <w:lang w:eastAsia="zh-CN"/>
              </w:rPr>
            </w:pPr>
            <w:r>
              <w:rPr>
                <w:rFonts w:hint="eastAsia" w:ascii="仿宋" w:hAnsi="仿宋" w:eastAsia="仿宋" w:cstheme="majorEastAsia"/>
                <w:kern w:val="0"/>
                <w:sz w:val="21"/>
                <w:szCs w:val="18"/>
              </w:rPr>
              <w:t>涉密状况</w:t>
            </w:r>
            <w:r>
              <w:rPr>
                <w:rFonts w:ascii="仿宋" w:hAnsi="仿宋" w:eastAsia="仿宋" w:cstheme="majorEastAsia"/>
                <w:kern w:val="0"/>
                <w:sz w:val="21"/>
                <w:szCs w:val="18"/>
              </w:rPr>
              <w:t>：</w:t>
            </w:r>
            <w:r>
              <w:rPr>
                <w:rFonts w:hint="eastAsia" w:ascii="仿宋" w:hAnsi="仿宋" w:eastAsia="仿宋" w:cstheme="majorEastAsia"/>
                <w:kern w:val="0"/>
                <w:sz w:val="21"/>
                <w:szCs w:val="18"/>
                <w:lang w:eastAsia="zh-CN"/>
              </w:rPr>
              <w:t>无</w:t>
            </w:r>
          </w:p>
          <w:p>
            <w:pPr>
              <w:jc w:val="left"/>
              <w:rPr>
                <w:rFonts w:ascii="仿宋" w:hAnsi="仿宋" w:eastAsia="仿宋" w:cstheme="majorEastAsia"/>
                <w:kern w:val="0"/>
                <w:sz w:val="18"/>
                <w:szCs w:val="18"/>
              </w:rPr>
            </w:pPr>
          </w:p>
          <w:p>
            <w:pPr>
              <w:jc w:val="left"/>
              <w:rPr>
                <w:rFonts w:ascii="仿宋" w:hAnsi="仿宋" w:eastAsia="仿宋" w:cstheme="majorEastAsia"/>
                <w:kern w:val="0"/>
                <w:sz w:val="18"/>
                <w:szCs w:val="18"/>
              </w:rPr>
            </w:pPr>
          </w:p>
        </w:tc>
      </w:tr>
    </w:tbl>
    <w:p>
      <w:pPr>
        <w:rPr>
          <w:rFonts w:hint="eastAsia" w:ascii="宋体" w:hAnsi="宋体" w:eastAsia="宋体" w:cs="宋体"/>
          <w:b/>
          <w:bCs/>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hlMGRkMzA4NWJkZmJkYWQ1ZmJiZmU0YTg2YTJjMTIifQ=="/>
    <w:docVar w:name="KSO_WPS_MARK_KEY" w:val="e4583f43-6b3b-4531-9f92-fbe7de9b38f7"/>
  </w:docVars>
  <w:rsids>
    <w:rsidRoot w:val="00B71BE9"/>
    <w:rsid w:val="00021F38"/>
    <w:rsid w:val="00134F2E"/>
    <w:rsid w:val="00141865"/>
    <w:rsid w:val="00145898"/>
    <w:rsid w:val="001748B7"/>
    <w:rsid w:val="00187243"/>
    <w:rsid w:val="00200D8A"/>
    <w:rsid w:val="00227BC3"/>
    <w:rsid w:val="002B7EB1"/>
    <w:rsid w:val="00332903"/>
    <w:rsid w:val="003367A4"/>
    <w:rsid w:val="00461A4F"/>
    <w:rsid w:val="00467E73"/>
    <w:rsid w:val="00495363"/>
    <w:rsid w:val="004C533C"/>
    <w:rsid w:val="00500FD0"/>
    <w:rsid w:val="00531A17"/>
    <w:rsid w:val="005D4A39"/>
    <w:rsid w:val="005D6499"/>
    <w:rsid w:val="005E7AA6"/>
    <w:rsid w:val="0062377A"/>
    <w:rsid w:val="00645525"/>
    <w:rsid w:val="006624DB"/>
    <w:rsid w:val="00680E60"/>
    <w:rsid w:val="006B49DA"/>
    <w:rsid w:val="006D78CF"/>
    <w:rsid w:val="006E2E1D"/>
    <w:rsid w:val="006F727F"/>
    <w:rsid w:val="00731D56"/>
    <w:rsid w:val="007F3A4B"/>
    <w:rsid w:val="0080498C"/>
    <w:rsid w:val="00844675"/>
    <w:rsid w:val="00906E99"/>
    <w:rsid w:val="009A58F1"/>
    <w:rsid w:val="009A59F0"/>
    <w:rsid w:val="009B4C54"/>
    <w:rsid w:val="00A8331C"/>
    <w:rsid w:val="00A85715"/>
    <w:rsid w:val="00AF5C8D"/>
    <w:rsid w:val="00B12016"/>
    <w:rsid w:val="00B15D20"/>
    <w:rsid w:val="00B57FD2"/>
    <w:rsid w:val="00B71BE9"/>
    <w:rsid w:val="00B971CF"/>
    <w:rsid w:val="00BB5F83"/>
    <w:rsid w:val="00C37827"/>
    <w:rsid w:val="00C524E6"/>
    <w:rsid w:val="00C56FF2"/>
    <w:rsid w:val="00D3211D"/>
    <w:rsid w:val="00D95F03"/>
    <w:rsid w:val="00DC5623"/>
    <w:rsid w:val="00E221F2"/>
    <w:rsid w:val="00E30308"/>
    <w:rsid w:val="00E544A4"/>
    <w:rsid w:val="00EB5409"/>
    <w:rsid w:val="00EB6115"/>
    <w:rsid w:val="00ED1CB8"/>
    <w:rsid w:val="00F35237"/>
    <w:rsid w:val="00F51965"/>
    <w:rsid w:val="00FA7DC9"/>
    <w:rsid w:val="0B264AEB"/>
    <w:rsid w:val="10F91DFD"/>
    <w:rsid w:val="16D67702"/>
    <w:rsid w:val="17FA64BD"/>
    <w:rsid w:val="1A43510B"/>
    <w:rsid w:val="23431A27"/>
    <w:rsid w:val="24455FED"/>
    <w:rsid w:val="2B894F37"/>
    <w:rsid w:val="2BDC4AE8"/>
    <w:rsid w:val="383D4C11"/>
    <w:rsid w:val="3D2D7451"/>
    <w:rsid w:val="3EDA7F5F"/>
    <w:rsid w:val="45F842A7"/>
    <w:rsid w:val="4D6D3299"/>
    <w:rsid w:val="52B24683"/>
    <w:rsid w:val="544E2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6BFA1-CEE0-403E-871F-650CAF2756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166</Words>
  <Characters>166</Characters>
  <Lines>3</Lines>
  <Paragraphs>1</Paragraphs>
  <TotalTime>1</TotalTime>
  <ScaleCrop>false</ScaleCrop>
  <LinksUpToDate>false</LinksUpToDate>
  <CharactersWithSpaces>191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2021-05-07T01:07:00Z</dcterms:created>
  <dc:creator>外网</dc:creator>
  <cp:lastModifiedBy>陈怡婷</cp:lastModifiedBy>
  <dcterms:modified xsi:type="dcterms:W3CDTF">2023-09-22T07:52:49Z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D371773565B148088A973F625E0B37F2</vt:lpwstr>
  </property>
</Properties>
</file>