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b/>
          <w:bCs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</w:rPr>
        <w:t>附件1</w:t>
      </w:r>
    </w:p>
    <w:p>
      <w:pPr>
        <w:jc w:val="center"/>
        <w:rPr>
          <w:rFonts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温州医科大学附属第一医院</w:t>
      </w:r>
    </w:p>
    <w:p>
      <w:pPr>
        <w:jc w:val="center"/>
        <w:rPr>
          <w:rFonts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科技成果转化公示表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4466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5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  <w:t>科技成果名称</w:t>
            </w:r>
          </w:p>
        </w:tc>
        <w:tc>
          <w:tcPr>
            <w:tcW w:w="60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  <w:lang w:val="en-US" w:eastAsia="zh-CN" w:bidi="ar-SA"/>
              </w:rPr>
              <w:t>一种肠杆菌和铜绿假单胞菌碳青霉烯酶的快速检测方法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5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  <w:t>成果完成人</w:t>
            </w:r>
          </w:p>
        </w:tc>
        <w:tc>
          <w:tcPr>
            <w:tcW w:w="60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  <w:lang w:val="en-US" w:eastAsia="zh-CN" w:bidi="ar-SA"/>
              </w:rPr>
              <w:t>周铁丽、吴庆、陈栎江、曾未良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5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  <w:t>转化方式</w:t>
            </w:r>
          </w:p>
        </w:tc>
        <w:tc>
          <w:tcPr>
            <w:tcW w:w="6011" w:type="dxa"/>
            <w:gridSpan w:val="2"/>
            <w:vAlign w:val="top"/>
          </w:tcPr>
          <w:p>
            <w:pPr>
              <w:ind w:firstLine="735" w:firstLineChars="350"/>
              <w:rPr>
                <w:rFonts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 xml:space="preserve">□普通许可 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排他许可 □独占许可</w:t>
            </w:r>
          </w:p>
          <w:p>
            <w:pPr>
              <w:ind w:firstLine="945" w:firstLineChars="450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转 让    □作价投资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25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  <w:t>转化价格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  <w:t>（价格确定方式）</w:t>
            </w:r>
          </w:p>
        </w:tc>
        <w:tc>
          <w:tcPr>
            <w:tcW w:w="6011" w:type="dxa"/>
            <w:gridSpan w:val="2"/>
            <w:vAlign w:val="top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 xml:space="preserve">科技成果价值评估报告（□有 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否）</w:t>
            </w:r>
          </w:p>
          <w:p>
            <w:pPr>
              <w:rPr>
                <w:rFonts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协议作价 价格：</w:t>
            </w:r>
          </w:p>
          <w:p>
            <w:pPr>
              <w:jc w:val="left"/>
              <w:rPr>
                <w:rFonts w:ascii="仿宋" w:hAnsi="仿宋" w:eastAsia="仿宋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挂牌交易</w:t>
            </w:r>
            <w:r>
              <w:rPr>
                <w:rFonts w:hint="eastAsia" w:ascii="仿宋" w:hAnsi="仿宋" w:eastAsia="仿宋" w:cstheme="major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挂牌价：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CN"/>
              </w:rPr>
              <w:t>拾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万元整（￥10,0000）</w:t>
            </w:r>
          </w:p>
          <w:p>
            <w:pPr>
              <w:rPr>
                <w:rFonts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 xml:space="preserve">□拍卖 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起拍价：最低成交价：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11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  <w:highlight w:val="yellow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  <w:t>内容摘要</w:t>
            </w:r>
          </w:p>
        </w:tc>
        <w:tc>
          <w:tcPr>
            <w:tcW w:w="4466" w:type="dxa"/>
            <w:vAlign w:val="top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2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8"/>
              </w:rPr>
              <w:t xml:space="preserve">拟受让方是否是成果完成人或者利害关系人 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1545" w:type="dxa"/>
            <w:vAlign w:val="top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2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8"/>
              </w:rPr>
              <w:t>是□ 否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8"/>
              </w:rPr>
              <w:sym w:font="Wingdings 2" w:char="0052"/>
            </w:r>
          </w:p>
          <w:p>
            <w:pP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5" w:hRule="atLeast"/>
        </w:trPr>
        <w:tc>
          <w:tcPr>
            <w:tcW w:w="2511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  <w:highlight w:val="yellow"/>
              </w:rPr>
            </w:pPr>
          </w:p>
        </w:tc>
        <w:tc>
          <w:tcPr>
            <w:tcW w:w="6011" w:type="dxa"/>
            <w:gridSpan w:val="2"/>
            <w:vAlign w:val="top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（含项目简介、价值判定依据对学术的影响评价及涉密状况等）</w:t>
            </w:r>
          </w:p>
          <w:p>
            <w:pPr>
              <w:pStyle w:val="3"/>
              <w:ind w:firstLine="420" w:firstLineChars="0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</w:rPr>
            </w:pPr>
          </w:p>
          <w:p>
            <w:pPr>
              <w:pStyle w:val="3"/>
              <w:ind w:firstLine="420" w:firstLineChars="0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</w:rPr>
              <w:t>近年来，碳青霉烯耐药已成为全球范围内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  <w:lang w:val="en-US" w:eastAsia="zh-CN"/>
              </w:rPr>
              <w:t>的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</w:rPr>
              <w:t>重大公共卫生问题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  <w:lang w:val="en-US" w:eastAsia="zh-CN"/>
              </w:rPr>
              <w:t>之一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</w:rPr>
              <w:t>。因此，碳青霉烯酶的简单、稳定、快速检测已成为世界各国临床检查和诊断的重要标准。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  <w:lang w:val="en-US" w:eastAsia="zh-CN"/>
              </w:rPr>
              <w:t>本项目设计的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</w:rPr>
              <w:t>NitroSpeed-Carba NP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  <w:lang w:val="en-US" w:eastAsia="zh-CN"/>
              </w:rPr>
              <w:t>检测方法能够鉴定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</w:rPr>
              <w:t>肠杆菌和铜绿假单胞菌中不同种类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  <w:lang w:val="en-US" w:eastAsia="zh-CN"/>
              </w:rPr>
              <w:t>的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</w:rPr>
              <w:t>碳青霉烯酶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</w:rPr>
              <w:t>具有较好的稳定性和敏感性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</w:rPr>
              <w:t>可以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  <w:lang w:val="en-US" w:eastAsia="zh-CN"/>
              </w:rPr>
              <w:t>区分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</w:rPr>
              <w:t>几乎所有类别的碳青霉烯酶，对A类、B类和D类酶的敏感性达到100%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  <w:lang w:eastAsia="zh-CN"/>
              </w:rPr>
              <w:t>。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  <w:lang w:val="en-US" w:eastAsia="zh-CN"/>
              </w:rPr>
              <w:t>检测流程和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</w:rPr>
              <w:t>结果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  <w:lang w:val="en-US" w:eastAsia="zh-CN"/>
              </w:rPr>
              <w:t>判读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</w:rPr>
              <w:t>可在30分钟内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  <w:lang w:val="en-US" w:eastAsia="zh-CN"/>
              </w:rPr>
              <w:t>完成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  <w:lang w:eastAsia="zh-CN"/>
              </w:rPr>
              <w:t>。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</w:rPr>
              <w:t>这种检测方法易于使用和快速执行，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  <w:lang w:val="en-US" w:eastAsia="zh-CN"/>
              </w:rPr>
              <w:t>在精准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</w:rPr>
              <w:t>治疗方案、优化抗生素管理和预防多重耐药菌株暴发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  <w:lang w:val="en-US" w:eastAsia="zh-CN"/>
              </w:rPr>
              <w:t>感染等方面具有显著的应用价值与商业化开发潜力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</w:rPr>
              <w:t>。</w:t>
            </w:r>
          </w:p>
        </w:tc>
      </w:tr>
    </w:tbl>
    <w:p>
      <w:pPr>
        <w:rPr>
          <w:rFonts w:ascii="宋体" w:hAnsi="宋体" w:eastAsia="宋体" w:cs="宋体"/>
          <w:b/>
          <w:bCs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Heiti SC Light">
    <w:altName w:val="Arial Unicode MS"/>
    <w:panose1 w:val="00000000000000000000"/>
    <w:charset w:val="80"/>
    <w:family w:val="auto"/>
    <w:pitch w:val="default"/>
    <w:sig w:usb0="00000000" w:usb1="00000000" w:usb2="00000000" w:usb3="00000000" w:csb0="203E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hjYmViODYwZWMzYWE4MzFmZjM0NTM5MTgwOGQ1ODcifQ=="/>
    <w:docVar w:name="KSO_WPS_MARK_KEY" w:val="e4583f43-6b3b-4531-9f92-fbe7de9b38f7"/>
  </w:docVars>
  <w:rsids>
    <w:rsidRoot w:val="00B71BE9"/>
    <w:rsid w:val="00021F38"/>
    <w:rsid w:val="00134F2E"/>
    <w:rsid w:val="00141865"/>
    <w:rsid w:val="00145898"/>
    <w:rsid w:val="001748B7"/>
    <w:rsid w:val="00187243"/>
    <w:rsid w:val="00200D8A"/>
    <w:rsid w:val="00227BC3"/>
    <w:rsid w:val="002B7EB1"/>
    <w:rsid w:val="00332903"/>
    <w:rsid w:val="003367A4"/>
    <w:rsid w:val="00461A4F"/>
    <w:rsid w:val="00467E73"/>
    <w:rsid w:val="00495363"/>
    <w:rsid w:val="004C533C"/>
    <w:rsid w:val="00500FD0"/>
    <w:rsid w:val="00531A17"/>
    <w:rsid w:val="005D4A39"/>
    <w:rsid w:val="005D6499"/>
    <w:rsid w:val="005E7AA6"/>
    <w:rsid w:val="0062377A"/>
    <w:rsid w:val="00645525"/>
    <w:rsid w:val="006624DB"/>
    <w:rsid w:val="00680E60"/>
    <w:rsid w:val="006B49DA"/>
    <w:rsid w:val="006D78CF"/>
    <w:rsid w:val="006E2E1D"/>
    <w:rsid w:val="006F727F"/>
    <w:rsid w:val="00731D56"/>
    <w:rsid w:val="007F3A4B"/>
    <w:rsid w:val="0080498C"/>
    <w:rsid w:val="00844675"/>
    <w:rsid w:val="00906E99"/>
    <w:rsid w:val="009A58F1"/>
    <w:rsid w:val="009A59F0"/>
    <w:rsid w:val="009B4C54"/>
    <w:rsid w:val="00A8331C"/>
    <w:rsid w:val="00A85715"/>
    <w:rsid w:val="00AF5C8D"/>
    <w:rsid w:val="00B12016"/>
    <w:rsid w:val="00B15D20"/>
    <w:rsid w:val="00B57FD2"/>
    <w:rsid w:val="00B71BE9"/>
    <w:rsid w:val="00B971CF"/>
    <w:rsid w:val="00BB5F83"/>
    <w:rsid w:val="00C37827"/>
    <w:rsid w:val="00C524E6"/>
    <w:rsid w:val="00C56FF2"/>
    <w:rsid w:val="00D3211D"/>
    <w:rsid w:val="00D95F03"/>
    <w:rsid w:val="00DC5623"/>
    <w:rsid w:val="00E221F2"/>
    <w:rsid w:val="00E30308"/>
    <w:rsid w:val="00E544A4"/>
    <w:rsid w:val="00EB5409"/>
    <w:rsid w:val="00EB6115"/>
    <w:rsid w:val="00ED1CB8"/>
    <w:rsid w:val="00F35237"/>
    <w:rsid w:val="00F51965"/>
    <w:rsid w:val="00FA7DC9"/>
    <w:rsid w:val="0B264AEB"/>
    <w:rsid w:val="17FA64BD"/>
    <w:rsid w:val="1A43510B"/>
    <w:rsid w:val="1E5A7FBF"/>
    <w:rsid w:val="225B1467"/>
    <w:rsid w:val="23431A27"/>
    <w:rsid w:val="24455FED"/>
    <w:rsid w:val="2B894F37"/>
    <w:rsid w:val="35835AAE"/>
    <w:rsid w:val="383D4C11"/>
    <w:rsid w:val="3EDA7F5F"/>
    <w:rsid w:val="41006B6B"/>
    <w:rsid w:val="4137363C"/>
    <w:rsid w:val="45F842A7"/>
    <w:rsid w:val="464A196E"/>
    <w:rsid w:val="52B24683"/>
    <w:rsid w:val="53226F6B"/>
    <w:rsid w:val="544E26B2"/>
    <w:rsid w:val="752B27C8"/>
    <w:rsid w:val="7AD327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6BFA1-CEE0-403E-871F-650CAF2756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510</Words>
  <Characters>537</Characters>
  <Lines>3</Lines>
  <Paragraphs>1</Paragraphs>
  <TotalTime>0</TotalTime>
  <ScaleCrop>false</ScaleCrop>
  <LinksUpToDate>false</LinksUpToDate>
  <CharactersWithSpaces>562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2021-05-07T01:07:00Z</dcterms:created>
  <dc:creator>外网</dc:creator>
  <cp:lastModifiedBy>外网</cp:lastModifiedBy>
  <dcterms:modified xsi:type="dcterms:W3CDTF">2023-10-12T08:14:07Z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D371773565B148088A973F625E0B37F2</vt:lpwstr>
  </property>
</Properties>
</file>