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521"/>
        <w:gridCol w:w="14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WYYYCGC-2023056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羧甲基纤维素钠银敷料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1、结构及组成：片装敷料，由含银羧甲基纤维素钠等材料组成；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2、适用范围：适用于管理烧伤创面、慢性溃疡、压疮、糖尿病足溃疡等伤口。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3、其他要求：灭菌提供，具备医疗器械注册证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WYYYCGC-2023056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创面修复生物玻璃敷料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1、结构及组成：由生物玻璃、白凡士林、轻质液状石蜡、二氧化硅和甘油等组成；需包含喷剂和膏剂两种剂型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2、适用范围：用于小创口、擦伤、切割伤、Ⅰ度或浅Ⅱ度的烧烫伤等非慢性创面及周围皮肤的护理。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lang w:val="en-US" w:eastAsia="zh-CN"/>
              </w:rPr>
              <w:t>其他要求：灭菌提供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WYYYCGC-2023056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皮肤创面无机敷料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1、结构及组成：由无机硅酸盐颗粒、白凡士林、液体（状）石蜡等组成，配有预灌封无菌注射器（适合术中使用）；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2、适用范围：适用于皮肤溃疡、烧伤换药、慢性创面修复等；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3、其他要求：灭菌提供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D39751A"/>
    <w:rsid w:val="35F4076A"/>
    <w:rsid w:val="6C38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2023-11-07T07:52:00Z</dcterms:created>
  <dc:creator>Internet</dc:creator>
  <cp:lastModifiedBy>woodmankiwi0304</cp:lastModifiedBy>
  <dcterms:modified xsi:type="dcterms:W3CDTF">2023-11-13T01:05:20Z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DA0815260FF44F02A1AC9B81EECC9D8F_12</vt:lpwstr>
  </property>
</Properties>
</file>