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97" w:tblpY="444"/>
        <w:tblOverlap w:val="never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7"/>
        <w:gridCol w:w="3932"/>
        <w:gridCol w:w="1082"/>
        <w:gridCol w:w="2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项目编号/标段编号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标段名称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产品要求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WYYYCGC-2023063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血液病免疫表型流式检测试剂A包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适用范围: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用于白血病、淋巴瘤、骨髓瘤免疫分型、白血病微小残留检测等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提供质控品、校准品等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适用于贝克曼Navios流式分析仪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试剂包清单</w:t>
            </w:r>
            <w:r>
              <w:rPr>
                <w:rFonts w:hint="eastAsia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WYYYCGC-2023063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/02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血液病免疫表型流式检测试剂B包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适用范围: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用于白血病、淋巴瘤、骨髓瘤免疫分型、白血病微小残留检测等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提供质控品、校准品等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适用于贝克曼Navios流式分析仪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试剂包清单</w:t>
            </w:r>
            <w:r>
              <w:rPr>
                <w:rFonts w:hint="eastAsia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WYYYCGC-2023063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/03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血液病免疫表型流式检测试剂C包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适用范围: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用于白血病、淋巴瘤、骨髓瘤免疫分型、白血病微小残留检测等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提供质控品、校准品等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适用于贝克曼Navios流式分析仪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试剂包清单</w:t>
            </w:r>
            <w:r>
              <w:rPr>
                <w:rFonts w:hint="eastAsia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WYYYCGC-2023063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/04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血液病免疫表型流式检测试剂D包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适用范围: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用于白血病、淋巴瘤、骨髓瘤免疫分型、白血病微小残留检测等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提供质控品、校准品等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适用于贝克曼Navios流式分析仪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试剂包清单</w:t>
            </w:r>
            <w:r>
              <w:rPr>
                <w:rFonts w:hint="eastAsia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WYYYCGC-2023063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/05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血液病免疫表型流式检测试剂E包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适用范围: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用于白血病、淋巴瘤、骨髓瘤免疫分型、白血病微小残留检测等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提供质控品、校准品等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适用于贝克曼Navios流式分析仪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试剂包清单</w:t>
            </w:r>
            <w:r>
              <w:rPr>
                <w:rFonts w:hint="eastAsia"/>
                <w:lang w:eastAsia="zh-CN"/>
              </w:rPr>
              <w:t>另附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26F76CFF"/>
    <w:rsid w:val="26F7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2023-11-20T03:11:00Z</dcterms:created>
  <dc:creator>章铭</dc:creator>
  <cp:lastModifiedBy>章铭</cp:lastModifiedBy>
  <dcterms:modified xsi:type="dcterms:W3CDTF">2023-11-20T03:13:57Z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2A0E13F122DE4901A9AC15396FE5082B_11</vt:lpwstr>
  </property>
</Properties>
</file>