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4521"/>
        <w:gridCol w:w="1428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4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highlight w:val="none"/>
                <w:lang w:val="en-US" w:eastAsia="zh-CN"/>
              </w:rPr>
              <w:t>WYYYCGC-2023056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/01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highlight w:val="none"/>
                <w:lang w:val="en-US" w:eastAsia="zh-CN"/>
              </w:rPr>
              <w:t>羧甲基纤维素钠银敷料</w:t>
            </w:r>
          </w:p>
        </w:tc>
        <w:tc>
          <w:tcPr>
            <w:tcW w:w="4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1、结构及组成：片装敷料，由含银羧甲基纤维素钠等材料组成；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2、适用范围：适用于管理烧伤创面、慢性溃疡、压疮、糖尿病足溃疡等伤口。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3、其他要求：灭菌提供，具备医疗器械注册证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highlight w:val="none"/>
                <w:lang w:val="en-US" w:eastAsia="zh-CN"/>
              </w:rPr>
              <w:t>WYYYCGC-2023056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/02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highlight w:val="none"/>
                <w:lang w:val="en-US" w:eastAsia="zh-CN"/>
              </w:rPr>
              <w:t>创面修复生物玻璃敷料</w:t>
            </w:r>
          </w:p>
        </w:tc>
        <w:tc>
          <w:tcPr>
            <w:tcW w:w="4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1、结构及组成：由生物玻璃、白凡士林、轻质液状石蜡、二氧化硅和甘油等组成；需包含喷剂和膏剂两种剂型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2、适用范围：用于小创口、擦伤、切割伤、Ⅰ度或浅Ⅱ度的烧烫伤等非慢性创面及周围皮肤的护理。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3、</w:t>
            </w:r>
            <w:r>
              <w:rPr>
                <w:rFonts w:hint="eastAsia"/>
                <w:lang w:val="en-US" w:eastAsia="zh-CN"/>
              </w:rPr>
              <w:t>其他要求：灭菌提供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highlight w:val="none"/>
                <w:lang w:val="en-US" w:eastAsia="zh-CN"/>
              </w:rPr>
              <w:t>WYYYCGC-2023056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/03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皮肤创面无机敷料</w:t>
            </w:r>
          </w:p>
        </w:tc>
        <w:tc>
          <w:tcPr>
            <w:tcW w:w="4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1、结构及组成：由无机硅酸盐颗粒、白凡士林、液体（状）石蜡等组成，配有预灌封无菌注射器（适合术中使用）；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2、适用范围：适用于皮肤溃疡、烧伤换药、慢性创面修复等；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3、其他要求：灭菌提供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00000000"/>
    <w:rsid w:val="1D39751A"/>
    <w:rsid w:val="35F4076A"/>
    <w:rsid w:val="6C38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2023-11-07T07:52:00Z</dcterms:created>
  <dc:creator>Internet</dc:creator>
  <cp:lastModifiedBy>woodmankiwi0304</cp:lastModifiedBy>
  <dcterms:modified xsi:type="dcterms:W3CDTF">2023-11-13T01:05:20Z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DA0815260FF44F02A1AC9B81EECC9D8F_12</vt:lpwstr>
  </property>
</Properties>
</file>