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ageBreakBefore/>
        <w:spacing w:line="560" w:lineRule="exact"/>
        <w:ind w:left="0" w:firstLine="0" w:firstLineChars="0"/>
        <w:rPr>
          <w:rFonts w:ascii="仿宋_GB2312" w:eastAsia="仿宋_GB2312"/>
          <w:color w:val="auto"/>
          <w:sz w:val="32"/>
          <w:szCs w:val="32"/>
          <w:highlight w:val="none"/>
          <w:lang w:val="en-US"/>
        </w:rPr>
      </w:pPr>
      <w:bookmarkStart w:id="0" w:name="_GoBack"/>
      <w:bookmarkEnd w:id="0"/>
      <w:r>
        <w:rPr>
          <w:rFonts w:hint="eastAsia" w:ascii="仿宋_GB2312" w:eastAsia="仿宋_GB2312"/>
          <w:color w:val="auto"/>
          <w:sz w:val="32"/>
          <w:szCs w:val="32"/>
          <w:highlight w:val="none"/>
          <w:lang w:val="en-US"/>
        </w:rPr>
        <w:t>附件1</w:t>
      </w:r>
    </w:p>
    <w:p>
      <w:pPr>
        <w:pStyle w:val="3"/>
        <w:spacing w:line="560" w:lineRule="exact"/>
        <w:ind w:left="0" w:firstLine="0" w:firstLineChars="0"/>
        <w:rPr>
          <w:rFonts w:ascii="仿宋_GB2312" w:eastAsia="仿宋_GB2312"/>
          <w:color w:val="auto"/>
          <w:sz w:val="32"/>
          <w:szCs w:val="32"/>
          <w:highlight w:val="none"/>
          <w:lang w:val="en-US"/>
        </w:rPr>
      </w:pPr>
    </w:p>
    <w:p>
      <w:pPr>
        <w:spacing w:line="700" w:lineRule="exact"/>
        <w:jc w:val="center"/>
        <w:rPr>
          <w:rFonts w:hint="eastAsia" w:ascii="方正小标宋简体" w:hAnsi="黑体" w:eastAsia="方正小标宋简体" w:cs="黑体"/>
          <w:color w:val="auto"/>
          <w:sz w:val="44"/>
          <w:szCs w:val="44"/>
          <w:highlight w:val="none"/>
          <w:lang w:val="en-US" w:eastAsia="zh-CN"/>
        </w:rPr>
      </w:pPr>
      <w:r>
        <w:rPr>
          <w:rFonts w:hint="eastAsia" w:ascii="方正小标宋简体" w:hAnsi="仿宋_GB2312" w:eastAsia="方正小标宋简体" w:cs="仿宋_GB2312"/>
          <w:color w:val="auto"/>
          <w:kern w:val="0"/>
          <w:sz w:val="44"/>
          <w:szCs w:val="44"/>
          <w:highlight w:val="none"/>
        </w:rPr>
        <w:t>温州市鹿城区人才住房配售房源</w:t>
      </w:r>
      <w:r>
        <w:rPr>
          <w:rFonts w:hint="eastAsia" w:ascii="方正小标宋简体" w:hAnsi="仿宋_GB2312" w:eastAsia="方正小标宋简体" w:cs="仿宋_GB2312"/>
          <w:color w:val="auto"/>
          <w:kern w:val="0"/>
          <w:sz w:val="44"/>
          <w:szCs w:val="44"/>
          <w:highlight w:val="none"/>
          <w:lang w:val="en-US" w:eastAsia="zh-CN"/>
        </w:rPr>
        <w:t>情况</w:t>
      </w:r>
    </w:p>
    <w:p>
      <w:pPr>
        <w:widowControl/>
        <w:spacing w:before="468" w:beforeLines="150" w:line="560" w:lineRule="exact"/>
        <w:textAlignment w:val="center"/>
        <w:rPr>
          <w:rFonts w:ascii="黑体" w:hAnsi="黑体" w:eastAsia="黑体"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ascii="黑体" w:hAnsi="黑体" w:eastAsia="黑体" w:cs="仿宋_GB2312"/>
          <w:color w:val="auto"/>
          <w:sz w:val="32"/>
          <w:szCs w:val="32"/>
          <w:highlight w:val="none"/>
        </w:rPr>
        <w:t xml:space="preserve">  </w:t>
      </w:r>
      <w:r>
        <w:rPr>
          <w:rFonts w:hint="eastAsia" w:ascii="黑体" w:hAnsi="黑体" w:eastAsia="黑体" w:cs="仿宋_GB2312"/>
          <w:color w:val="auto"/>
          <w:sz w:val="32"/>
          <w:szCs w:val="32"/>
          <w:highlight w:val="none"/>
        </w:rPr>
        <w:t>一、房源分布</w:t>
      </w:r>
    </w:p>
    <w:p>
      <w:pPr>
        <w:widowControl/>
        <w:spacing w:line="500" w:lineRule="exact"/>
        <w:ind w:firstLine="640" w:firstLineChars="200"/>
        <w:jc w:val="left"/>
        <w:rPr>
          <w:rFonts w:ascii="仿宋_GB2312" w:hAnsi="宋体" w:eastAsia="仿宋_GB2312" w:cs="仿宋_GB2312"/>
          <w:color w:val="auto"/>
          <w:kern w:val="0"/>
          <w:sz w:val="31"/>
          <w:szCs w:val="31"/>
          <w:highlight w:val="none"/>
          <w:lang w:bidi="ar"/>
        </w:rPr>
      </w:pPr>
      <w:r>
        <w:rPr>
          <w:rFonts w:hint="eastAsia" w:ascii="仿宋_GB2312" w:hAnsi="仿宋_GB2312" w:eastAsia="仿宋_GB2312" w:cs="仿宋_GB2312"/>
          <w:color w:val="auto"/>
          <w:sz w:val="32"/>
          <w:szCs w:val="32"/>
          <w:highlight w:val="none"/>
        </w:rPr>
        <w:t>鹿城区人才住房配售房源共</w:t>
      </w:r>
      <w:r>
        <w:rPr>
          <w:rFonts w:hint="eastAsia" w:ascii="仿宋_GB2312" w:hAnsi="Microsoft YaHei UI" w:eastAsia="仿宋_GB2312"/>
          <w:bCs/>
          <w:color w:val="auto"/>
          <w:sz w:val="32"/>
          <w:szCs w:val="32"/>
          <w:highlight w:val="none"/>
          <w:lang w:val="en-US" w:eastAsia="zh-CN"/>
        </w:rPr>
        <w:t>2</w:t>
      </w:r>
      <w:r>
        <w:rPr>
          <w:rFonts w:hint="eastAsia" w:ascii="仿宋_GB2312" w:hAnsi="Microsoft YaHei UI" w:eastAsia="仿宋_GB2312"/>
          <w:bCs/>
          <w:color w:val="auto"/>
          <w:sz w:val="32"/>
          <w:szCs w:val="32"/>
          <w:highlight w:val="none"/>
        </w:rPr>
        <w:t>个楼盘项目</w:t>
      </w:r>
      <w:r>
        <w:rPr>
          <w:rFonts w:hint="eastAsia" w:ascii="仿宋_GB2312" w:hAnsi="仿宋_GB2312" w:eastAsia="仿宋_GB2312" w:cs="仿宋_GB2312"/>
          <w:color w:val="auto"/>
          <w:sz w:val="32"/>
          <w:szCs w:val="32"/>
          <w:highlight w:val="none"/>
        </w:rPr>
        <w:t>，</w:t>
      </w:r>
      <w:r>
        <w:rPr>
          <w:rFonts w:hint="eastAsia" w:ascii="仿宋_GB2312" w:hAnsi="宋体" w:eastAsia="仿宋_GB2312" w:cs="仿宋_GB2312"/>
          <w:color w:val="auto"/>
          <w:kern w:val="0"/>
          <w:sz w:val="31"/>
          <w:szCs w:val="31"/>
          <w:highlight w:val="none"/>
          <w:lang w:bidi="ar"/>
        </w:rPr>
        <w:t>范围为</w:t>
      </w:r>
      <w:r>
        <w:rPr>
          <w:rFonts w:hint="eastAsia" w:ascii="仿宋_GB2312" w:hAnsi="宋体" w:eastAsia="仿宋_GB2312" w:cs="仿宋_GB2312"/>
          <w:color w:val="auto"/>
          <w:kern w:val="0"/>
          <w:sz w:val="31"/>
          <w:szCs w:val="31"/>
          <w:highlight w:val="none"/>
          <w:lang w:val="en-US" w:eastAsia="zh-CN" w:bidi="ar"/>
        </w:rPr>
        <w:t>榕辰里</w:t>
      </w:r>
      <w:r>
        <w:rPr>
          <w:rFonts w:hint="eastAsia" w:ascii="仿宋_GB2312" w:hAnsi="宋体" w:eastAsia="仿宋_GB2312" w:cs="仿宋_GB2312"/>
          <w:color w:val="auto"/>
          <w:kern w:val="0"/>
          <w:sz w:val="31"/>
          <w:szCs w:val="31"/>
          <w:highlight w:val="none"/>
          <w:lang w:bidi="ar"/>
        </w:rPr>
        <w:t>、文澜湾，总套数</w:t>
      </w:r>
      <w:r>
        <w:rPr>
          <w:rFonts w:hint="eastAsia" w:ascii="仿宋_GB2312" w:hAnsi="宋体" w:eastAsia="仿宋_GB2312" w:cs="仿宋_GB2312"/>
          <w:color w:val="auto"/>
          <w:kern w:val="0"/>
          <w:sz w:val="31"/>
          <w:szCs w:val="31"/>
          <w:highlight w:val="none"/>
          <w:lang w:val="en-US" w:eastAsia="zh-CN" w:bidi="ar"/>
        </w:rPr>
        <w:t>150</w:t>
      </w:r>
      <w:r>
        <w:rPr>
          <w:rFonts w:hint="eastAsia" w:ascii="仿宋_GB2312" w:hAnsi="宋体" w:eastAsia="仿宋_GB2312" w:cs="仿宋_GB2312"/>
          <w:color w:val="auto"/>
          <w:kern w:val="0"/>
          <w:sz w:val="31"/>
          <w:szCs w:val="31"/>
          <w:highlight w:val="none"/>
          <w:lang w:bidi="ar"/>
        </w:rPr>
        <w:t>套。具体项目房源情况如下：</w:t>
      </w:r>
    </w:p>
    <w:p>
      <w:pPr>
        <w:widowControl/>
        <w:spacing w:line="500" w:lineRule="exact"/>
        <w:ind w:firstLine="640" w:firstLineChars="20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w:t>
      </w:r>
      <w:r>
        <w:rPr>
          <w:rFonts w:hint="eastAsia" w:ascii="仿宋_GB2312" w:hAnsi="Calibri" w:eastAsia="仿宋_GB2312" w:cs="Times New Roman"/>
          <w:strike w:val="0"/>
          <w:dstrike w:val="0"/>
          <w:color w:val="auto"/>
          <w:kern w:val="0"/>
          <w:sz w:val="32"/>
          <w:szCs w:val="32"/>
          <w:highlight w:val="none"/>
          <w:lang w:bidi="ar-SA"/>
        </w:rPr>
        <w:t>温州市核心片区广化单元黄龙商贸城街坊</w:t>
      </w:r>
      <w:r>
        <w:rPr>
          <w:rFonts w:hint="eastAsia" w:ascii="仿宋_GB2312" w:eastAsia="仿宋_GB2312" w:cs="Times New Roman"/>
          <w:strike w:val="0"/>
          <w:dstrike w:val="0"/>
          <w:color w:val="auto"/>
          <w:kern w:val="0"/>
          <w:sz w:val="32"/>
          <w:szCs w:val="32"/>
          <w:highlight w:val="none"/>
          <w:lang w:val="en-US" w:eastAsia="zh-CN" w:bidi="ar-SA"/>
        </w:rPr>
        <w:t>三</w:t>
      </w:r>
      <w:r>
        <w:rPr>
          <w:rFonts w:hint="eastAsia" w:ascii="仿宋_GB2312" w:hAnsi="Calibri" w:eastAsia="仿宋_GB2312" w:cs="Times New Roman"/>
          <w:strike w:val="0"/>
          <w:dstrike w:val="0"/>
          <w:color w:val="auto"/>
          <w:kern w:val="0"/>
          <w:sz w:val="32"/>
          <w:szCs w:val="32"/>
          <w:highlight w:val="none"/>
          <w:lang w:bidi="ar-SA"/>
        </w:rPr>
        <w:t>期地块</w:t>
      </w:r>
      <w:r>
        <w:rPr>
          <w:rFonts w:hint="eastAsia" w:ascii="仿宋_GB2312" w:eastAsia="仿宋_GB2312" w:cs="Times New Roman"/>
          <w:strike w:val="0"/>
          <w:dstrike w:val="0"/>
          <w:color w:val="auto"/>
          <w:kern w:val="0"/>
          <w:sz w:val="32"/>
          <w:szCs w:val="32"/>
          <w:highlight w:val="none"/>
          <w:lang w:eastAsia="zh-CN" w:bidi="ar-SA"/>
        </w:rPr>
        <w:t>（</w:t>
      </w:r>
      <w:r>
        <w:rPr>
          <w:rFonts w:hint="eastAsia" w:ascii="仿宋_GB2312" w:eastAsia="仿宋_GB2312" w:cs="Times New Roman"/>
          <w:strike w:val="0"/>
          <w:dstrike w:val="0"/>
          <w:color w:val="auto"/>
          <w:kern w:val="0"/>
          <w:sz w:val="32"/>
          <w:szCs w:val="32"/>
          <w:highlight w:val="none"/>
          <w:lang w:val="en-US" w:eastAsia="zh-CN" w:bidi="ar-SA"/>
        </w:rPr>
        <w:t>榕辰里</w:t>
      </w:r>
      <w:r>
        <w:rPr>
          <w:rFonts w:hint="eastAsia" w:ascii="仿宋_GB2312" w:eastAsia="仿宋_GB2312" w:cs="Times New Roman"/>
          <w:strike w:val="0"/>
          <w:dstrike w:val="0"/>
          <w:color w:val="auto"/>
          <w:kern w:val="0"/>
          <w:sz w:val="32"/>
          <w:szCs w:val="32"/>
          <w:highlight w:val="none"/>
          <w:lang w:eastAsia="zh-CN" w:bidi="ar-SA"/>
        </w:rPr>
        <w:t>）</w:t>
      </w:r>
      <w:r>
        <w:rPr>
          <w:rFonts w:hint="eastAsia" w:ascii="仿宋_GB2312" w:hAnsi="宋体" w:eastAsia="仿宋_GB2312" w:cs="仿宋_GB2312"/>
          <w:color w:val="auto"/>
          <w:kern w:val="0"/>
          <w:sz w:val="31"/>
          <w:szCs w:val="31"/>
          <w:highlight w:val="none"/>
          <w:lang w:bidi="ar"/>
        </w:rPr>
        <w:t>人才房位于</w:t>
      </w:r>
      <w:r>
        <w:rPr>
          <w:rFonts w:hint="eastAsia" w:ascii="仿宋_GB2312" w:hAnsi="宋体" w:eastAsia="仿宋_GB2312" w:cs="仿宋_GB2312"/>
          <w:color w:val="auto"/>
          <w:kern w:val="0"/>
          <w:sz w:val="31"/>
          <w:szCs w:val="31"/>
          <w:highlight w:val="none"/>
          <w:lang w:val="en-US" w:eastAsia="zh-CN" w:bidi="ar"/>
        </w:rPr>
        <w:t>9</w:t>
      </w:r>
      <w:r>
        <w:rPr>
          <w:rFonts w:hint="eastAsia" w:ascii="仿宋_GB2312" w:hAnsi="宋体" w:eastAsia="仿宋_GB2312" w:cs="仿宋_GB2312"/>
          <w:color w:val="auto"/>
          <w:kern w:val="0"/>
          <w:sz w:val="31"/>
          <w:szCs w:val="31"/>
          <w:highlight w:val="none"/>
          <w:lang w:bidi="ar"/>
        </w:rPr>
        <w:t>号楼，套数</w:t>
      </w:r>
      <w:r>
        <w:rPr>
          <w:rFonts w:hint="eastAsia" w:ascii="仿宋_GB2312" w:hAnsi="宋体" w:eastAsia="仿宋_GB2312" w:cs="仿宋_GB2312"/>
          <w:color w:val="auto"/>
          <w:kern w:val="0"/>
          <w:sz w:val="31"/>
          <w:szCs w:val="31"/>
          <w:highlight w:val="none"/>
          <w:lang w:val="en-US" w:eastAsia="zh-CN" w:bidi="ar"/>
        </w:rPr>
        <w:t>23</w:t>
      </w:r>
      <w:r>
        <w:rPr>
          <w:rFonts w:hint="eastAsia" w:ascii="仿宋_GB2312" w:hAnsi="宋体" w:eastAsia="仿宋_GB2312" w:cs="仿宋_GB2312"/>
          <w:color w:val="auto"/>
          <w:kern w:val="0"/>
          <w:sz w:val="31"/>
          <w:szCs w:val="31"/>
          <w:highlight w:val="none"/>
          <w:lang w:bidi="ar"/>
        </w:rPr>
        <w:t>套，其中9</w:t>
      </w:r>
      <w:r>
        <w:rPr>
          <w:rFonts w:hint="eastAsia" w:ascii="仿宋_GB2312" w:hAnsi="宋体" w:eastAsia="仿宋_GB2312" w:cs="仿宋_GB2312"/>
          <w:color w:val="auto"/>
          <w:kern w:val="0"/>
          <w:sz w:val="31"/>
          <w:szCs w:val="31"/>
          <w:highlight w:val="none"/>
          <w:lang w:val="en-US" w:eastAsia="zh-CN" w:bidi="ar"/>
        </w:rPr>
        <w:t>0</w:t>
      </w:r>
      <w:r>
        <w:rPr>
          <w:rFonts w:hint="eastAsia" w:ascii="仿宋_GB2312" w:hAnsi="宋体" w:eastAsia="仿宋_GB2312" w:cs="仿宋_GB2312"/>
          <w:color w:val="auto"/>
          <w:kern w:val="0"/>
          <w:sz w:val="31"/>
          <w:szCs w:val="31"/>
          <w:highlight w:val="none"/>
          <w:lang w:bidi="ar"/>
        </w:rPr>
        <w:t>平方米档</w:t>
      </w:r>
      <w:r>
        <w:rPr>
          <w:rFonts w:hint="eastAsia" w:ascii="仿宋_GB2312" w:hAnsi="宋体" w:eastAsia="仿宋_GB2312" w:cs="仿宋_GB2312"/>
          <w:color w:val="auto"/>
          <w:kern w:val="0"/>
          <w:sz w:val="31"/>
          <w:szCs w:val="31"/>
          <w:highlight w:val="none"/>
          <w:lang w:val="en-US" w:eastAsia="zh-CN" w:bidi="ar"/>
        </w:rPr>
        <w:t>23</w:t>
      </w:r>
      <w:r>
        <w:rPr>
          <w:rFonts w:hint="eastAsia" w:ascii="仿宋_GB2312" w:hAnsi="宋体" w:eastAsia="仿宋_GB2312" w:cs="仿宋_GB2312"/>
          <w:color w:val="auto"/>
          <w:kern w:val="0"/>
          <w:sz w:val="31"/>
          <w:szCs w:val="31"/>
          <w:highlight w:val="none"/>
          <w:lang w:bidi="ar"/>
        </w:rPr>
        <w:t>套。</w:t>
      </w:r>
      <w:r>
        <w:rPr>
          <w:rFonts w:hint="eastAsia" w:ascii="仿宋_GB2312" w:hAnsi="仿宋_GB2312" w:eastAsia="仿宋_GB2312" w:cs="仿宋_GB2312"/>
          <w:color w:val="auto"/>
          <w:sz w:val="32"/>
          <w:szCs w:val="32"/>
          <w:highlight w:val="none"/>
        </w:rPr>
        <w:t>地块坐落于温州市鹿城区翠微大道与过境路交叉口，该项目由</w:t>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"javascript:doView(9002069);"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温州润茂房地产开发有限公司</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t>开发建设，预计于202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月交付使用，具体以实际为准。</w:t>
      </w:r>
    </w:p>
    <w:p>
      <w:pPr>
        <w:widowControl/>
        <w:spacing w:line="560" w:lineRule="exact"/>
        <w:ind w:firstLine="640" w:firstLineChars="200"/>
        <w:textAlignment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二</w:t>
      </w:r>
      <w:r>
        <w:rPr>
          <w:rFonts w:hint="eastAsia" w:ascii="仿宋_GB2312" w:hAnsi="仿宋_GB2312" w:eastAsia="仿宋_GB2312" w:cs="仿宋_GB2312"/>
          <w:color w:val="auto"/>
          <w:sz w:val="32"/>
          <w:szCs w:val="32"/>
          <w:highlight w:val="none"/>
        </w:rPr>
        <w:t>）</w:t>
      </w:r>
      <w:r>
        <w:rPr>
          <w:rFonts w:hint="eastAsia" w:ascii="仿宋_GB2312" w:hAnsi="宋体" w:eastAsia="仿宋_GB2312" w:cs="仿宋_GB2312"/>
          <w:color w:val="auto"/>
          <w:kern w:val="0"/>
          <w:sz w:val="31"/>
          <w:szCs w:val="31"/>
          <w:highlight w:val="none"/>
          <w:lang w:bidi="ar"/>
        </w:rPr>
        <w:t>温州市旧城E-30b地块（文澜湾）人才房位于</w:t>
      </w:r>
      <w:r>
        <w:rPr>
          <w:rFonts w:hint="eastAsia" w:ascii="仿宋_GB2312" w:hAnsi="宋体" w:eastAsia="仿宋_GB2312" w:cs="仿宋_GB2312"/>
          <w:color w:val="auto"/>
          <w:kern w:val="0"/>
          <w:sz w:val="31"/>
          <w:szCs w:val="31"/>
          <w:highlight w:val="none"/>
          <w:lang w:val="en-US" w:eastAsia="zh-CN" w:bidi="ar"/>
        </w:rPr>
        <w:t>1</w:t>
      </w:r>
      <w:r>
        <w:rPr>
          <w:rFonts w:hint="eastAsia" w:ascii="仿宋_GB2312" w:hAnsi="宋体" w:eastAsia="仿宋_GB2312" w:cs="仿宋_GB2312"/>
          <w:color w:val="auto"/>
          <w:kern w:val="0"/>
          <w:sz w:val="31"/>
          <w:szCs w:val="31"/>
          <w:highlight w:val="none"/>
          <w:lang w:bidi="ar"/>
        </w:rPr>
        <w:t>号楼</w:t>
      </w:r>
      <w:r>
        <w:rPr>
          <w:rFonts w:hint="eastAsia" w:ascii="仿宋_GB2312" w:hAnsi="宋体" w:eastAsia="仿宋_GB2312" w:cs="仿宋_GB2312"/>
          <w:color w:val="auto"/>
          <w:kern w:val="0"/>
          <w:sz w:val="31"/>
          <w:szCs w:val="31"/>
          <w:highlight w:val="none"/>
          <w:lang w:eastAsia="zh-CN" w:bidi="ar"/>
        </w:rPr>
        <w:t>、</w:t>
      </w:r>
      <w:r>
        <w:rPr>
          <w:rFonts w:hint="eastAsia" w:ascii="仿宋_GB2312" w:hAnsi="宋体" w:eastAsia="仿宋_GB2312" w:cs="仿宋_GB2312"/>
          <w:color w:val="auto"/>
          <w:kern w:val="0"/>
          <w:sz w:val="31"/>
          <w:szCs w:val="31"/>
          <w:highlight w:val="none"/>
          <w:lang w:val="en-US" w:eastAsia="zh-CN" w:bidi="ar"/>
        </w:rPr>
        <w:t>2</w:t>
      </w:r>
      <w:r>
        <w:rPr>
          <w:rFonts w:hint="eastAsia" w:ascii="仿宋_GB2312" w:hAnsi="宋体" w:eastAsia="仿宋_GB2312" w:cs="仿宋_GB2312"/>
          <w:color w:val="auto"/>
          <w:kern w:val="0"/>
          <w:sz w:val="31"/>
          <w:szCs w:val="31"/>
          <w:highlight w:val="none"/>
          <w:lang w:bidi="ar"/>
        </w:rPr>
        <w:t>号楼</w:t>
      </w:r>
      <w:r>
        <w:rPr>
          <w:rFonts w:hint="eastAsia" w:ascii="仿宋_GB2312" w:hAnsi="宋体" w:eastAsia="仿宋_GB2312" w:cs="仿宋_GB2312"/>
          <w:color w:val="auto"/>
          <w:kern w:val="0"/>
          <w:sz w:val="31"/>
          <w:szCs w:val="31"/>
          <w:highlight w:val="none"/>
          <w:lang w:eastAsia="zh-CN" w:bidi="ar"/>
        </w:rPr>
        <w:t>、</w:t>
      </w:r>
      <w:r>
        <w:rPr>
          <w:rFonts w:hint="eastAsia" w:ascii="仿宋_GB2312" w:hAnsi="宋体" w:eastAsia="仿宋_GB2312" w:cs="仿宋_GB2312"/>
          <w:color w:val="auto"/>
          <w:kern w:val="0"/>
          <w:sz w:val="31"/>
          <w:szCs w:val="31"/>
          <w:highlight w:val="none"/>
          <w:lang w:val="en-US" w:eastAsia="zh-CN" w:bidi="ar"/>
        </w:rPr>
        <w:t>5</w:t>
      </w:r>
      <w:r>
        <w:rPr>
          <w:rFonts w:hint="eastAsia" w:ascii="仿宋_GB2312" w:hAnsi="宋体" w:eastAsia="仿宋_GB2312" w:cs="仿宋_GB2312"/>
          <w:color w:val="auto"/>
          <w:kern w:val="0"/>
          <w:sz w:val="31"/>
          <w:szCs w:val="31"/>
          <w:highlight w:val="none"/>
          <w:lang w:bidi="ar"/>
        </w:rPr>
        <w:t>号楼，套数</w:t>
      </w:r>
      <w:r>
        <w:rPr>
          <w:rFonts w:hint="eastAsia" w:ascii="仿宋_GB2312" w:hAnsi="宋体" w:eastAsia="仿宋_GB2312" w:cs="仿宋_GB2312"/>
          <w:color w:val="auto"/>
          <w:kern w:val="0"/>
          <w:sz w:val="31"/>
          <w:szCs w:val="31"/>
          <w:highlight w:val="none"/>
          <w:lang w:val="en-US" w:eastAsia="zh-CN" w:bidi="ar"/>
        </w:rPr>
        <w:t>127</w:t>
      </w:r>
      <w:r>
        <w:rPr>
          <w:rFonts w:hint="eastAsia" w:ascii="仿宋_GB2312" w:hAnsi="宋体" w:eastAsia="仿宋_GB2312" w:cs="仿宋_GB2312"/>
          <w:color w:val="auto"/>
          <w:kern w:val="0"/>
          <w:sz w:val="31"/>
          <w:szCs w:val="31"/>
          <w:highlight w:val="none"/>
          <w:lang w:bidi="ar"/>
        </w:rPr>
        <w:t>套，其中90平方米档</w:t>
      </w:r>
      <w:r>
        <w:rPr>
          <w:rFonts w:hint="eastAsia" w:ascii="仿宋_GB2312" w:hAnsi="宋体" w:eastAsia="仿宋_GB2312" w:cs="仿宋_GB2312"/>
          <w:color w:val="auto"/>
          <w:kern w:val="0"/>
          <w:sz w:val="31"/>
          <w:szCs w:val="31"/>
          <w:highlight w:val="none"/>
          <w:lang w:val="en-US" w:eastAsia="zh-CN" w:bidi="ar"/>
        </w:rPr>
        <w:t>127</w:t>
      </w:r>
      <w:r>
        <w:rPr>
          <w:rFonts w:hint="eastAsia" w:ascii="仿宋_GB2312" w:hAnsi="宋体" w:eastAsia="仿宋_GB2312" w:cs="仿宋_GB2312"/>
          <w:color w:val="auto"/>
          <w:kern w:val="0"/>
          <w:sz w:val="31"/>
          <w:szCs w:val="31"/>
          <w:highlight w:val="none"/>
          <w:lang w:bidi="ar"/>
        </w:rPr>
        <w:t>套。地块坐落于吴桥路与锦绣路交叉路，该项目由温州兆家房地产有限公司开发建设，预计于2024年6月交付使用，</w:t>
      </w:r>
      <w:r>
        <w:rPr>
          <w:rFonts w:hint="eastAsia" w:ascii="仿宋_GB2312" w:hAnsi="仿宋_GB2312" w:eastAsia="仿宋_GB2312" w:cs="仿宋_GB2312"/>
          <w:color w:val="auto"/>
          <w:sz w:val="32"/>
          <w:szCs w:val="32"/>
          <w:highlight w:val="none"/>
        </w:rPr>
        <w:t>具体以实际为准。</w:t>
      </w:r>
    </w:p>
    <w:p>
      <w:pPr>
        <w:widowControl/>
        <w:spacing w:line="560" w:lineRule="exact"/>
        <w:ind w:firstLine="640" w:firstLineChars="200"/>
        <w:textAlignment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房源信息见下表：</w:t>
      </w:r>
    </w:p>
    <w:tbl>
      <w:tblPr>
        <w:tblStyle w:val="8"/>
        <w:tblpPr w:leftFromText="180" w:rightFromText="180" w:vertAnchor="text" w:horzAnchor="page" w:tblpX="1515" w:tblpY="389"/>
        <w:tblOverlap w:val="never"/>
        <w:tblW w:w="8237" w:type="dxa"/>
        <w:tblInd w:w="0" w:type="dxa"/>
        <w:tblLayout w:type="fixed"/>
        <w:tblCellMar>
          <w:top w:w="0" w:type="dxa"/>
          <w:left w:w="0" w:type="dxa"/>
          <w:bottom w:w="0" w:type="dxa"/>
          <w:right w:w="0" w:type="dxa"/>
        </w:tblCellMar>
      </w:tblPr>
      <w:tblGrid>
        <w:gridCol w:w="567"/>
        <w:gridCol w:w="1381"/>
        <w:gridCol w:w="745"/>
        <w:gridCol w:w="1717"/>
        <w:gridCol w:w="708"/>
        <w:gridCol w:w="709"/>
        <w:gridCol w:w="709"/>
        <w:gridCol w:w="709"/>
        <w:gridCol w:w="992"/>
      </w:tblGrid>
      <w:tr>
        <w:tblPrEx>
          <w:tblCellMar>
            <w:top w:w="0" w:type="dxa"/>
            <w:left w:w="0" w:type="dxa"/>
            <w:bottom w:w="0" w:type="dxa"/>
            <w:right w:w="0" w:type="dxa"/>
          </w:tblCellMar>
        </w:tblPrEx>
        <w:trPr>
          <w:trHeight w:val="945" w:hRule="atLeast"/>
        </w:trPr>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宋体" w:hAnsi="宋体" w:cs="宋体"/>
                <w:b/>
                <w:color w:val="auto"/>
                <w:sz w:val="18"/>
                <w:szCs w:val="18"/>
                <w:highlight w:val="none"/>
              </w:rPr>
            </w:pPr>
            <w:r>
              <w:rPr>
                <w:rFonts w:hint="eastAsia" w:ascii="宋体" w:hAnsi="宋体" w:cs="宋体"/>
                <w:b/>
                <w:color w:val="auto"/>
                <w:kern w:val="0"/>
                <w:sz w:val="18"/>
                <w:szCs w:val="18"/>
                <w:highlight w:val="none"/>
              </w:rPr>
              <w:t>序号</w:t>
            </w:r>
          </w:p>
        </w:tc>
        <w:tc>
          <w:tcPr>
            <w:tcW w:w="13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楼盘名称</w:t>
            </w:r>
          </w:p>
        </w:tc>
        <w:tc>
          <w:tcPr>
            <w:tcW w:w="7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区域</w:t>
            </w:r>
          </w:p>
        </w:tc>
        <w:tc>
          <w:tcPr>
            <w:tcW w:w="1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地理位置</w:t>
            </w:r>
          </w:p>
        </w:tc>
        <w:tc>
          <w:tcPr>
            <w:tcW w:w="7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总套数</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户型建筑面积</w:t>
            </w:r>
            <w:r>
              <w:rPr>
                <w:rFonts w:ascii="宋体" w:hAnsi="宋体" w:cs="宋体"/>
                <w:b/>
                <w:color w:val="auto"/>
                <w:kern w:val="0"/>
                <w:sz w:val="18"/>
                <w:szCs w:val="18"/>
                <w:highlight w:val="none"/>
              </w:rPr>
              <w:t xml:space="preserve">       </w:t>
            </w:r>
            <w:r>
              <w:rPr>
                <w:rFonts w:hint="eastAsia" w:ascii="宋体" w:hAnsi="宋体" w:cs="宋体"/>
                <w:b/>
                <w:color w:val="auto"/>
                <w:kern w:val="0"/>
                <w:sz w:val="18"/>
                <w:szCs w:val="18"/>
                <w:highlight w:val="none"/>
              </w:rPr>
              <w:t>（约㎡）</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套数</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幢号</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交付时间</w:t>
            </w:r>
          </w:p>
          <w:p>
            <w:pPr>
              <w:widowControl/>
              <w:jc w:val="center"/>
              <w:textAlignment w:val="center"/>
              <w:rPr>
                <w:rFonts w:eastAsia="文星简小标宋"/>
                <w:color w:val="auto"/>
                <w:highlight w:val="none"/>
              </w:rPr>
            </w:pPr>
            <w:r>
              <w:rPr>
                <w:rFonts w:hint="eastAsia" w:ascii="宋体" w:hAnsi="宋体" w:cs="宋体"/>
                <w:b/>
                <w:color w:val="auto"/>
                <w:kern w:val="0"/>
                <w:sz w:val="18"/>
                <w:szCs w:val="18"/>
                <w:highlight w:val="none"/>
              </w:rPr>
              <w:t>预计</w:t>
            </w:r>
          </w:p>
        </w:tc>
      </w:tr>
      <w:tr>
        <w:tblPrEx>
          <w:tblCellMar>
            <w:top w:w="0" w:type="dxa"/>
            <w:left w:w="0" w:type="dxa"/>
            <w:bottom w:w="0" w:type="dxa"/>
            <w:right w:w="0" w:type="dxa"/>
          </w:tblCellMar>
        </w:tblPrEx>
        <w:trPr>
          <w:trHeight w:val="886" w:hRule="atLeast"/>
        </w:trPr>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Cs/>
                <w:color w:val="auto"/>
                <w:sz w:val="18"/>
                <w:szCs w:val="18"/>
                <w:highlight w:val="none"/>
              </w:rPr>
            </w:pPr>
            <w:r>
              <w:rPr>
                <w:rFonts w:hint="eastAsia" w:ascii="宋体" w:hAnsi="宋体" w:cs="宋体"/>
                <w:bCs/>
                <w:color w:val="auto"/>
                <w:sz w:val="18"/>
                <w:szCs w:val="18"/>
                <w:highlight w:val="none"/>
              </w:rPr>
              <w:t>1</w:t>
            </w:r>
          </w:p>
        </w:tc>
        <w:tc>
          <w:tcPr>
            <w:tcW w:w="138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hint="default" w:ascii="宋体" w:hAnsi="宋体" w:eastAsia="宋体" w:cs="宋体"/>
                <w:bCs/>
                <w:color w:val="auto"/>
                <w:sz w:val="18"/>
                <w:szCs w:val="18"/>
                <w:highlight w:val="none"/>
                <w:lang w:val="en-US" w:eastAsia="zh-CN"/>
              </w:rPr>
            </w:pPr>
            <w:r>
              <w:rPr>
                <w:rFonts w:hint="eastAsia" w:ascii="宋体" w:hAnsi="宋体" w:cs="宋体"/>
                <w:bCs/>
                <w:color w:val="auto"/>
                <w:sz w:val="18"/>
                <w:szCs w:val="18"/>
                <w:highlight w:val="none"/>
                <w:lang w:val="en-US" w:eastAsia="zh-CN"/>
              </w:rPr>
              <w:t>榕辰里</w:t>
            </w:r>
          </w:p>
        </w:tc>
        <w:tc>
          <w:tcPr>
            <w:tcW w:w="745" w:type="dxa"/>
            <w:tcBorders>
              <w:top w:val="single" w:color="000000" w:sz="4" w:space="0"/>
              <w:left w:val="single" w:color="000000" w:sz="4" w:space="0"/>
              <w:right w:val="single" w:color="000000" w:sz="4" w:space="0"/>
            </w:tcBorders>
            <w:vAlign w:val="center"/>
          </w:tcPr>
          <w:p>
            <w:pPr>
              <w:jc w:val="center"/>
              <w:rPr>
                <w:rFonts w:ascii="宋体" w:hAnsi="宋体" w:cs="宋体"/>
                <w:bCs/>
                <w:color w:val="auto"/>
                <w:sz w:val="18"/>
                <w:szCs w:val="18"/>
                <w:highlight w:val="none"/>
              </w:rPr>
            </w:pPr>
            <w:r>
              <w:rPr>
                <w:rFonts w:hint="eastAsia" w:ascii="宋体" w:hAnsi="宋体" w:cs="宋体"/>
                <w:bCs/>
                <w:color w:val="auto"/>
                <w:sz w:val="18"/>
                <w:szCs w:val="18"/>
                <w:highlight w:val="none"/>
              </w:rPr>
              <w:t>鹿城区</w:t>
            </w:r>
          </w:p>
        </w:tc>
        <w:tc>
          <w:tcPr>
            <w:tcW w:w="1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Cs/>
                <w:color w:val="auto"/>
                <w:sz w:val="18"/>
                <w:szCs w:val="18"/>
                <w:highlight w:val="none"/>
              </w:rPr>
            </w:pPr>
            <w:r>
              <w:rPr>
                <w:rFonts w:hint="eastAsia" w:ascii="宋体" w:hAnsi="宋体" w:cs="宋体"/>
                <w:bCs/>
                <w:color w:val="auto"/>
                <w:sz w:val="18"/>
                <w:szCs w:val="18"/>
                <w:highlight w:val="none"/>
              </w:rPr>
              <w:t>鹿城区</w:t>
            </w:r>
            <w:r>
              <w:rPr>
                <w:rFonts w:hint="eastAsia" w:ascii="宋体" w:hAnsi="宋体" w:cs="宋体"/>
                <w:bCs/>
                <w:color w:val="auto"/>
                <w:sz w:val="18"/>
                <w:szCs w:val="18"/>
                <w:highlight w:val="none"/>
                <w:lang w:val="en-US" w:eastAsia="zh-CN"/>
              </w:rPr>
              <w:t>过境路</w:t>
            </w:r>
            <w:r>
              <w:rPr>
                <w:rFonts w:hint="eastAsia" w:ascii="宋体" w:hAnsi="宋体" w:cs="宋体"/>
                <w:bCs/>
                <w:color w:val="auto"/>
                <w:sz w:val="18"/>
                <w:szCs w:val="18"/>
                <w:highlight w:val="none"/>
              </w:rPr>
              <w:t>与</w:t>
            </w:r>
            <w:r>
              <w:rPr>
                <w:rFonts w:hint="eastAsia" w:ascii="宋体" w:hAnsi="宋体" w:cs="宋体"/>
                <w:bCs/>
                <w:color w:val="auto"/>
                <w:sz w:val="18"/>
                <w:szCs w:val="18"/>
                <w:highlight w:val="none"/>
                <w:lang w:val="en-US" w:eastAsia="zh-CN"/>
              </w:rPr>
              <w:t>翠微大道</w:t>
            </w:r>
            <w:r>
              <w:rPr>
                <w:rFonts w:hint="eastAsia" w:ascii="宋体" w:hAnsi="宋体" w:cs="宋体"/>
                <w:bCs/>
                <w:color w:val="auto"/>
                <w:sz w:val="18"/>
                <w:szCs w:val="18"/>
                <w:highlight w:val="none"/>
              </w:rPr>
              <w:t>交叉路口</w:t>
            </w:r>
          </w:p>
        </w:tc>
        <w:tc>
          <w:tcPr>
            <w:tcW w:w="7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宋体" w:hAnsi="宋体" w:eastAsia="宋体" w:cs="宋体"/>
                <w:bCs/>
                <w:color w:val="auto"/>
                <w:sz w:val="18"/>
                <w:szCs w:val="18"/>
                <w:highlight w:val="none"/>
                <w:lang w:val="en-US" w:eastAsia="zh-CN"/>
              </w:rPr>
            </w:pPr>
            <w:r>
              <w:rPr>
                <w:rFonts w:hint="eastAsia" w:ascii="宋体" w:hAnsi="宋体" w:cs="宋体"/>
                <w:bCs/>
                <w:color w:val="auto"/>
                <w:sz w:val="18"/>
                <w:szCs w:val="18"/>
                <w:highlight w:val="none"/>
                <w:lang w:val="en-US" w:eastAsia="zh-CN"/>
              </w:rPr>
              <w:t>23</w:t>
            </w:r>
          </w:p>
        </w:tc>
        <w:tc>
          <w:tcPr>
            <w:tcW w:w="709"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rPr>
                <w:rFonts w:hint="default" w:ascii="宋体" w:hAnsi="宋体" w:eastAsia="宋体" w:cs="宋体"/>
                <w:bCs/>
                <w:color w:val="auto"/>
                <w:sz w:val="18"/>
                <w:szCs w:val="18"/>
                <w:highlight w:val="none"/>
                <w:lang w:val="en-US" w:eastAsia="zh-CN"/>
              </w:rPr>
            </w:pPr>
            <w:r>
              <w:rPr>
                <w:rFonts w:hint="eastAsia" w:ascii="宋体" w:hAnsi="宋体" w:cs="宋体"/>
                <w:bCs/>
                <w:color w:val="auto"/>
                <w:sz w:val="18"/>
                <w:szCs w:val="18"/>
                <w:highlight w:val="none"/>
                <w:lang w:val="en-US" w:eastAsia="zh-CN"/>
              </w:rPr>
              <w:t>90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宋体" w:hAnsi="宋体" w:eastAsia="宋体" w:cs="宋体"/>
                <w:bCs/>
                <w:color w:val="auto"/>
                <w:sz w:val="18"/>
                <w:szCs w:val="18"/>
                <w:highlight w:val="none"/>
                <w:lang w:val="en-US" w:eastAsia="zh-CN"/>
              </w:rPr>
            </w:pPr>
            <w:r>
              <w:rPr>
                <w:rFonts w:hint="eastAsia" w:ascii="宋体" w:hAnsi="宋体" w:cs="宋体"/>
                <w:bCs/>
                <w:color w:val="auto"/>
                <w:sz w:val="18"/>
                <w:szCs w:val="18"/>
                <w:highlight w:val="none"/>
                <w:lang w:val="en-US" w:eastAsia="zh-CN"/>
              </w:rPr>
              <w:t>23</w:t>
            </w:r>
          </w:p>
        </w:tc>
        <w:tc>
          <w:tcPr>
            <w:tcW w:w="709"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rPr>
                <w:rFonts w:ascii="宋体" w:hAnsi="宋体" w:cs="宋体"/>
                <w:bCs/>
                <w:color w:val="auto"/>
                <w:sz w:val="18"/>
                <w:szCs w:val="18"/>
                <w:highlight w:val="none"/>
              </w:rPr>
            </w:pPr>
            <w:r>
              <w:rPr>
                <w:rFonts w:hint="eastAsia" w:ascii="宋体" w:hAnsi="宋体" w:cs="宋体"/>
                <w:bCs/>
                <w:color w:val="auto"/>
                <w:sz w:val="18"/>
                <w:szCs w:val="18"/>
                <w:highlight w:val="none"/>
                <w:lang w:val="en-US" w:eastAsia="zh-CN"/>
              </w:rPr>
              <w:t>9</w:t>
            </w:r>
            <w:r>
              <w:rPr>
                <w:rFonts w:hint="eastAsia" w:ascii="宋体" w:hAnsi="宋体" w:cs="宋体"/>
                <w:bCs/>
                <w:color w:val="auto"/>
                <w:sz w:val="18"/>
                <w:szCs w:val="18"/>
                <w:highlight w:val="none"/>
              </w:rPr>
              <w:t>#</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Cs/>
                <w:color w:val="auto"/>
                <w:sz w:val="18"/>
                <w:szCs w:val="18"/>
                <w:highlight w:val="none"/>
              </w:rPr>
            </w:pPr>
            <w:r>
              <w:rPr>
                <w:rFonts w:hint="eastAsia" w:ascii="宋体" w:hAnsi="宋体" w:cs="宋体"/>
                <w:bCs/>
                <w:color w:val="auto"/>
                <w:sz w:val="18"/>
                <w:szCs w:val="18"/>
                <w:highlight w:val="none"/>
              </w:rPr>
              <w:t>202</w:t>
            </w:r>
            <w:r>
              <w:rPr>
                <w:rFonts w:hint="eastAsia" w:ascii="宋体" w:hAnsi="宋体" w:cs="宋体"/>
                <w:bCs/>
                <w:color w:val="auto"/>
                <w:sz w:val="18"/>
                <w:szCs w:val="18"/>
                <w:highlight w:val="none"/>
                <w:lang w:val="en-US" w:eastAsia="zh-CN"/>
              </w:rPr>
              <w:t>4</w:t>
            </w:r>
            <w:r>
              <w:rPr>
                <w:rFonts w:hint="eastAsia" w:ascii="宋体" w:hAnsi="宋体" w:cs="宋体"/>
                <w:bCs/>
                <w:color w:val="auto"/>
                <w:sz w:val="18"/>
                <w:szCs w:val="18"/>
                <w:highlight w:val="none"/>
              </w:rPr>
              <w:t>.</w:t>
            </w:r>
            <w:r>
              <w:rPr>
                <w:rFonts w:hint="eastAsia" w:ascii="宋体" w:hAnsi="宋体" w:cs="宋体"/>
                <w:bCs/>
                <w:color w:val="auto"/>
                <w:sz w:val="18"/>
                <w:szCs w:val="18"/>
                <w:highlight w:val="none"/>
                <w:lang w:val="en-US" w:eastAsia="zh-CN"/>
              </w:rPr>
              <w:t>06</w:t>
            </w:r>
          </w:p>
        </w:tc>
      </w:tr>
      <w:tr>
        <w:tblPrEx>
          <w:tblCellMar>
            <w:top w:w="0" w:type="dxa"/>
            <w:left w:w="0" w:type="dxa"/>
            <w:bottom w:w="0" w:type="dxa"/>
            <w:right w:w="0" w:type="dxa"/>
          </w:tblCellMar>
        </w:tblPrEx>
        <w:trPr>
          <w:trHeight w:val="563" w:hRule="atLeast"/>
        </w:trPr>
        <w:tc>
          <w:tcPr>
            <w:tcW w:w="567" w:type="dxa"/>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eastAsia="宋体" w:cs="宋体"/>
                <w:bCs/>
                <w:color w:val="auto"/>
                <w:sz w:val="18"/>
                <w:szCs w:val="18"/>
                <w:highlight w:val="none"/>
                <w:lang w:eastAsia="zh-CN"/>
              </w:rPr>
            </w:pPr>
            <w:r>
              <w:rPr>
                <w:rFonts w:hint="eastAsia" w:ascii="宋体" w:hAnsi="宋体" w:cs="宋体"/>
                <w:bCs/>
                <w:color w:val="auto"/>
                <w:sz w:val="18"/>
                <w:szCs w:val="18"/>
                <w:highlight w:val="none"/>
                <w:lang w:val="en-US" w:eastAsia="zh-CN"/>
              </w:rPr>
              <w:t>2</w:t>
            </w:r>
          </w:p>
        </w:tc>
        <w:tc>
          <w:tcPr>
            <w:tcW w:w="138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bCs/>
                <w:color w:val="auto"/>
                <w:sz w:val="18"/>
                <w:szCs w:val="18"/>
                <w:highlight w:val="none"/>
              </w:rPr>
            </w:pPr>
            <w:r>
              <w:rPr>
                <w:rFonts w:hint="eastAsia" w:ascii="宋体" w:hAnsi="宋体" w:cs="宋体"/>
                <w:bCs/>
                <w:color w:val="auto"/>
                <w:sz w:val="18"/>
                <w:szCs w:val="18"/>
                <w:highlight w:val="none"/>
              </w:rPr>
              <w:t>文澜湾</w:t>
            </w:r>
          </w:p>
        </w:tc>
        <w:tc>
          <w:tcPr>
            <w:tcW w:w="745"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ascii="宋体" w:hAnsi="宋体" w:cs="宋体"/>
                <w:bCs/>
                <w:color w:val="auto"/>
                <w:sz w:val="18"/>
                <w:szCs w:val="18"/>
                <w:highlight w:val="none"/>
              </w:rPr>
            </w:pPr>
            <w:r>
              <w:rPr>
                <w:rFonts w:hint="eastAsia" w:ascii="宋体" w:hAnsi="宋体" w:cs="宋体"/>
                <w:bCs/>
                <w:color w:val="auto"/>
                <w:sz w:val="18"/>
                <w:szCs w:val="18"/>
                <w:highlight w:val="none"/>
              </w:rPr>
              <w:t>鹿城区</w:t>
            </w:r>
          </w:p>
        </w:tc>
        <w:tc>
          <w:tcPr>
            <w:tcW w:w="1717"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Cs/>
                <w:color w:val="auto"/>
                <w:sz w:val="18"/>
                <w:szCs w:val="18"/>
                <w:highlight w:val="none"/>
              </w:rPr>
            </w:pPr>
            <w:r>
              <w:rPr>
                <w:rFonts w:hint="eastAsia" w:ascii="宋体" w:hAnsi="宋体" w:cs="宋体"/>
                <w:bCs/>
                <w:color w:val="auto"/>
                <w:sz w:val="18"/>
                <w:szCs w:val="18"/>
                <w:highlight w:val="none"/>
              </w:rPr>
              <w:t>吴桥路与锦绣路交叉路</w:t>
            </w:r>
          </w:p>
        </w:tc>
        <w:tc>
          <w:tcPr>
            <w:tcW w:w="7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宋体" w:hAnsi="宋体" w:eastAsia="宋体" w:cs="宋体"/>
                <w:bCs/>
                <w:color w:val="auto"/>
                <w:sz w:val="18"/>
                <w:szCs w:val="18"/>
                <w:highlight w:val="none"/>
                <w:lang w:val="en-US" w:eastAsia="zh-CN"/>
              </w:rPr>
            </w:pPr>
            <w:r>
              <w:rPr>
                <w:rFonts w:hint="eastAsia" w:ascii="宋体" w:hAnsi="宋体" w:cs="宋体"/>
                <w:bCs/>
                <w:color w:val="auto"/>
                <w:sz w:val="18"/>
                <w:szCs w:val="18"/>
                <w:highlight w:val="none"/>
                <w:lang w:val="en-US" w:eastAsia="zh-CN"/>
              </w:rPr>
              <w:t>127</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Cs/>
                <w:color w:val="auto"/>
                <w:sz w:val="18"/>
                <w:szCs w:val="18"/>
                <w:highlight w:val="none"/>
              </w:rPr>
            </w:pPr>
            <w:r>
              <w:rPr>
                <w:rFonts w:hint="eastAsia" w:ascii="宋体" w:hAnsi="宋体" w:cs="宋体"/>
                <w:bCs/>
                <w:color w:val="auto"/>
                <w:sz w:val="18"/>
                <w:szCs w:val="18"/>
                <w:highlight w:val="none"/>
              </w:rPr>
              <w:t>90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宋体" w:hAnsi="宋体" w:eastAsia="宋体" w:cs="宋体"/>
                <w:bCs/>
                <w:color w:val="auto"/>
                <w:sz w:val="18"/>
                <w:szCs w:val="18"/>
                <w:highlight w:val="none"/>
                <w:lang w:val="en-US" w:eastAsia="zh-CN"/>
              </w:rPr>
            </w:pPr>
            <w:r>
              <w:rPr>
                <w:rFonts w:hint="eastAsia" w:ascii="宋体" w:hAnsi="宋体" w:cs="宋体"/>
                <w:bCs/>
                <w:color w:val="auto"/>
                <w:sz w:val="18"/>
                <w:szCs w:val="18"/>
                <w:highlight w:val="none"/>
                <w:lang w:val="en-US" w:eastAsia="zh-CN"/>
              </w:rPr>
              <w:t>127</w:t>
            </w:r>
          </w:p>
        </w:tc>
        <w:tc>
          <w:tcPr>
            <w:tcW w:w="709"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宋体"/>
                <w:bCs/>
                <w:color w:val="auto"/>
                <w:sz w:val="18"/>
                <w:szCs w:val="18"/>
                <w:highlight w:val="none"/>
                <w:lang w:eastAsia="zh-CN"/>
              </w:rPr>
            </w:pPr>
            <w:r>
              <w:rPr>
                <w:rFonts w:hint="eastAsia" w:ascii="宋体" w:hAnsi="宋体" w:cs="宋体"/>
                <w:bCs/>
                <w:color w:val="auto"/>
                <w:sz w:val="18"/>
                <w:szCs w:val="18"/>
                <w:highlight w:val="none"/>
                <w:lang w:val="en-US" w:eastAsia="zh-CN"/>
              </w:rPr>
              <w:t>1</w:t>
            </w:r>
            <w:r>
              <w:rPr>
                <w:rFonts w:hint="eastAsia" w:ascii="宋体" w:hAnsi="宋体" w:cs="宋体"/>
                <w:bCs/>
                <w:color w:val="auto"/>
                <w:sz w:val="18"/>
                <w:szCs w:val="18"/>
                <w:highlight w:val="none"/>
              </w:rPr>
              <w:t>#</w:t>
            </w:r>
            <w:r>
              <w:rPr>
                <w:rFonts w:hint="eastAsia" w:ascii="宋体" w:hAnsi="宋体" w:cs="宋体"/>
                <w:bCs/>
                <w:color w:val="auto"/>
                <w:sz w:val="18"/>
                <w:szCs w:val="18"/>
                <w:highlight w:val="none"/>
                <w:lang w:eastAsia="zh-CN"/>
              </w:rPr>
              <w:t>、</w:t>
            </w:r>
            <w:r>
              <w:rPr>
                <w:rFonts w:hint="eastAsia" w:ascii="宋体" w:hAnsi="宋体" w:cs="宋体"/>
                <w:bCs/>
                <w:color w:val="auto"/>
                <w:sz w:val="18"/>
                <w:szCs w:val="18"/>
                <w:highlight w:val="none"/>
                <w:lang w:val="en-US" w:eastAsia="zh-CN"/>
              </w:rPr>
              <w:t>2</w:t>
            </w:r>
            <w:r>
              <w:rPr>
                <w:rFonts w:hint="eastAsia" w:ascii="宋体" w:hAnsi="宋体" w:cs="宋体"/>
                <w:bCs/>
                <w:color w:val="auto"/>
                <w:sz w:val="18"/>
                <w:szCs w:val="18"/>
                <w:highlight w:val="none"/>
              </w:rPr>
              <w:t>#</w:t>
            </w:r>
            <w:r>
              <w:rPr>
                <w:rFonts w:hint="eastAsia" w:ascii="宋体" w:hAnsi="宋体" w:cs="宋体"/>
                <w:bCs/>
                <w:color w:val="auto"/>
                <w:sz w:val="18"/>
                <w:szCs w:val="18"/>
                <w:highlight w:val="none"/>
                <w:lang w:eastAsia="zh-CN"/>
              </w:rPr>
              <w:t>、</w:t>
            </w:r>
            <w:r>
              <w:rPr>
                <w:rFonts w:hint="eastAsia" w:ascii="宋体" w:hAnsi="宋体" w:cs="宋体"/>
                <w:bCs/>
                <w:color w:val="auto"/>
                <w:sz w:val="18"/>
                <w:szCs w:val="18"/>
                <w:highlight w:val="none"/>
                <w:lang w:val="en-US" w:eastAsia="zh-CN"/>
              </w:rPr>
              <w:t>5</w:t>
            </w:r>
            <w:r>
              <w:rPr>
                <w:rFonts w:hint="eastAsia" w:ascii="宋体" w:hAnsi="宋体" w:cs="宋体"/>
                <w:bCs/>
                <w:color w:val="auto"/>
                <w:sz w:val="18"/>
                <w:szCs w:val="18"/>
                <w:highlight w:val="none"/>
              </w:rPr>
              <w:t>#</w:t>
            </w:r>
          </w:p>
        </w:tc>
        <w:tc>
          <w:tcPr>
            <w:tcW w:w="99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Cs/>
                <w:color w:val="auto"/>
                <w:sz w:val="18"/>
                <w:szCs w:val="18"/>
                <w:highlight w:val="none"/>
              </w:rPr>
            </w:pPr>
            <w:r>
              <w:rPr>
                <w:rFonts w:hint="eastAsia" w:ascii="宋体" w:hAnsi="宋体" w:cs="宋体"/>
                <w:bCs/>
                <w:color w:val="auto"/>
                <w:sz w:val="18"/>
                <w:szCs w:val="18"/>
                <w:highlight w:val="none"/>
              </w:rPr>
              <w:t>2024.06</w:t>
            </w:r>
          </w:p>
        </w:tc>
      </w:tr>
      <w:tr>
        <w:tblPrEx>
          <w:tblCellMar>
            <w:top w:w="0" w:type="dxa"/>
            <w:left w:w="0" w:type="dxa"/>
            <w:bottom w:w="0" w:type="dxa"/>
            <w:right w:w="0" w:type="dxa"/>
          </w:tblCellMar>
        </w:tblPrEx>
        <w:trPr>
          <w:trHeight w:val="563" w:hRule="atLeast"/>
        </w:trPr>
        <w:tc>
          <w:tcPr>
            <w:tcW w:w="4410" w:type="dxa"/>
            <w:gridSpan w:val="4"/>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宋体" w:hAnsi="宋体" w:cs="宋体"/>
                <w:b/>
                <w:color w:val="auto"/>
                <w:sz w:val="18"/>
                <w:szCs w:val="18"/>
                <w:highlight w:val="none"/>
              </w:rPr>
            </w:pPr>
            <w:r>
              <w:rPr>
                <w:rFonts w:hint="eastAsia" w:ascii="宋体" w:hAnsi="宋体" w:cs="宋体"/>
                <w:b/>
                <w:color w:val="auto"/>
                <w:sz w:val="18"/>
                <w:szCs w:val="18"/>
                <w:highlight w:val="none"/>
              </w:rPr>
              <w:t>合计</w:t>
            </w:r>
          </w:p>
        </w:tc>
        <w:tc>
          <w:tcPr>
            <w:tcW w:w="7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宋体" w:hAnsi="宋体" w:eastAsia="宋体" w:cs="宋体"/>
                <w:bCs/>
                <w:color w:val="auto"/>
                <w:sz w:val="18"/>
                <w:szCs w:val="18"/>
                <w:highlight w:val="none"/>
                <w:lang w:val="en-US" w:eastAsia="zh-CN"/>
              </w:rPr>
            </w:pPr>
            <w:r>
              <w:rPr>
                <w:rFonts w:hint="eastAsia" w:ascii="宋体" w:hAnsi="宋体" w:cs="宋体"/>
                <w:bCs/>
                <w:color w:val="auto"/>
                <w:sz w:val="18"/>
                <w:szCs w:val="18"/>
                <w:highlight w:val="none"/>
                <w:lang w:val="en-US" w:eastAsia="zh-CN"/>
              </w:rPr>
              <w:t>150</w:t>
            </w:r>
          </w:p>
        </w:tc>
        <w:tc>
          <w:tcPr>
            <w:tcW w:w="311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auto"/>
                <w:sz w:val="18"/>
                <w:szCs w:val="18"/>
                <w:highlight w:val="none"/>
              </w:rPr>
            </w:pPr>
          </w:p>
        </w:tc>
      </w:tr>
    </w:tbl>
    <w:p>
      <w:pPr>
        <w:pStyle w:val="3"/>
        <w:ind w:left="0" w:firstLine="0" w:firstLineChars="0"/>
        <w:rPr>
          <w:color w:val="auto"/>
          <w:highlight w:val="none"/>
        </w:rPr>
      </w:pPr>
    </w:p>
    <w:p>
      <w:pPr>
        <w:pStyle w:val="3"/>
        <w:ind w:left="0" w:firstLine="0" w:firstLineChars="0"/>
        <w:rPr>
          <w:color w:val="auto"/>
          <w:highlight w:val="none"/>
        </w:rPr>
        <w:sectPr>
          <w:pgSz w:w="11906" w:h="16838"/>
          <w:pgMar w:top="2098" w:right="1474" w:bottom="1814" w:left="1588" w:header="851" w:footer="1361" w:gutter="0"/>
          <w:pgNumType w:fmt="numberInDash"/>
          <w:cols w:space="720" w:num="1"/>
          <w:docGrid w:type="lines" w:linePitch="312" w:charSpace="0"/>
        </w:sectPr>
      </w:pPr>
    </w:p>
    <w:p>
      <w:pPr>
        <w:spacing w:line="560" w:lineRule="exact"/>
        <w:ind w:firstLine="640" w:firstLineChars="200"/>
        <w:rPr>
          <w:rFonts w:hint="eastAsia" w:ascii="黑体" w:hAnsi="黑体" w:eastAsia="黑体" w:cs="黑体"/>
          <w:color w:val="auto"/>
          <w:sz w:val="32"/>
          <w:szCs w:val="32"/>
          <w:highlight w:val="none"/>
          <w:lang w:val="en-US" w:eastAsia="zh-CN"/>
        </w:rPr>
      </w:pPr>
      <w:r>
        <w:rPr>
          <w:rFonts w:hint="eastAsia" w:ascii="黑体" w:hAnsi="黑体" w:eastAsia="黑体"/>
          <w:color w:val="auto"/>
          <w:sz w:val="32"/>
          <w:szCs w:val="32"/>
          <w:highlight w:val="none"/>
        </w:rPr>
        <w:t>二、</w:t>
      </w:r>
      <w:r>
        <w:rPr>
          <w:rFonts w:hint="eastAsia" w:ascii="黑体" w:hAnsi="黑体" w:eastAsia="黑体"/>
          <w:color w:val="auto"/>
          <w:sz w:val="32"/>
          <w:szCs w:val="32"/>
          <w:highlight w:val="none"/>
          <w:lang w:val="en-US" w:eastAsia="zh-CN"/>
        </w:rPr>
        <w:t>政策</w:t>
      </w:r>
      <w:r>
        <w:rPr>
          <w:rFonts w:hint="eastAsia" w:ascii="黑体" w:hAnsi="黑体" w:eastAsia="黑体" w:cs="黑体"/>
          <w:color w:val="auto"/>
          <w:sz w:val="32"/>
          <w:szCs w:val="32"/>
          <w:highlight w:val="none"/>
        </w:rPr>
        <w:t>优惠</w:t>
      </w:r>
    </w:p>
    <w:p>
      <w:pPr>
        <w:spacing w:line="560" w:lineRule="exact"/>
        <w:ind w:firstLine="640" w:firstLineChars="200"/>
        <w:rPr>
          <w:rFonts w:hint="eastAsia" w:ascii="仿宋_GB2312" w:eastAsia="仿宋_GB2312" w:cs="仿宋_GB2312"/>
          <w:color w:val="auto"/>
          <w:sz w:val="32"/>
          <w:szCs w:val="32"/>
          <w:highlight w:val="none"/>
          <w:lang w:val="en-US" w:eastAsia="zh-CN"/>
        </w:rPr>
      </w:pPr>
      <w:r>
        <w:rPr>
          <w:rFonts w:hint="eastAsia" w:ascii="仿宋_GB2312" w:eastAsia="仿宋_GB2312" w:cs="仿宋_GB2312"/>
          <w:color w:val="auto"/>
          <w:sz w:val="32"/>
          <w:szCs w:val="32"/>
          <w:highlight w:val="none"/>
        </w:rPr>
        <w:t>（一）申请人按人才层次类别享受相应面积和折扣优惠。</w:t>
      </w:r>
      <w:r>
        <w:rPr>
          <w:rFonts w:hint="eastAsia" w:ascii="仿宋_GB2312" w:eastAsia="仿宋_GB2312" w:cs="仿宋_GB2312"/>
          <w:color w:val="auto"/>
          <w:sz w:val="32"/>
          <w:szCs w:val="32"/>
          <w:highlight w:val="none"/>
          <w:lang w:val="en-US" w:eastAsia="zh-CN"/>
        </w:rPr>
        <w:t>其中经认定的A类人才可赠送 141－190 ㎡配售型人才住房；BC类、DE类、符合条件的F类人才分别享受配售140㎡、120㎡、90㎡面积标准的人才住房，购买价格分别为备案价（核定价）的50%、60%、70%。</w:t>
      </w:r>
    </w:p>
    <w:p>
      <w:pPr>
        <w:spacing w:line="560" w:lineRule="exact"/>
        <w:ind w:firstLine="640" w:firstLineChars="200"/>
        <w:rPr>
          <w:rFonts w:hint="eastAsia"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(二)BC类人才可认购140</w:t>
      </w:r>
      <w:r>
        <w:rPr>
          <w:rFonts w:hint="eastAsia" w:ascii="仿宋_GB2312" w:eastAsia="仿宋_GB2312" w:cs="仿宋_GB2312"/>
          <w:color w:val="auto"/>
          <w:sz w:val="32"/>
          <w:szCs w:val="32"/>
          <w:highlight w:val="none"/>
          <w:lang w:val="en-US" w:eastAsia="zh-CN"/>
        </w:rPr>
        <w:t>㎡</w:t>
      </w:r>
      <w:r>
        <w:rPr>
          <w:rFonts w:hint="eastAsia" w:ascii="仿宋_GB2312" w:eastAsia="仿宋_GB2312" w:cs="仿宋_GB2312"/>
          <w:color w:val="auto"/>
          <w:sz w:val="32"/>
          <w:szCs w:val="32"/>
          <w:highlight w:val="none"/>
        </w:rPr>
        <w:t>面积标准的房源，也可自愿降档认购120</w:t>
      </w:r>
      <w:r>
        <w:rPr>
          <w:rFonts w:hint="eastAsia" w:ascii="仿宋_GB2312" w:eastAsia="仿宋_GB2312" w:cs="仿宋_GB2312"/>
          <w:color w:val="auto"/>
          <w:sz w:val="32"/>
          <w:szCs w:val="32"/>
          <w:highlight w:val="none"/>
          <w:lang w:val="en-US" w:eastAsia="zh-CN"/>
        </w:rPr>
        <w:t>㎡</w:t>
      </w:r>
      <w:r>
        <w:rPr>
          <w:rFonts w:hint="eastAsia" w:ascii="仿宋_GB2312" w:eastAsia="仿宋_GB2312" w:cs="仿宋_GB2312"/>
          <w:color w:val="auto"/>
          <w:sz w:val="32"/>
          <w:szCs w:val="32"/>
          <w:highlight w:val="none"/>
        </w:rPr>
        <w:t>面积标准、90</w:t>
      </w:r>
      <w:r>
        <w:rPr>
          <w:rFonts w:hint="eastAsia" w:ascii="仿宋_GB2312" w:eastAsia="仿宋_GB2312" w:cs="仿宋_GB2312"/>
          <w:color w:val="auto"/>
          <w:sz w:val="32"/>
          <w:szCs w:val="32"/>
          <w:highlight w:val="none"/>
          <w:lang w:val="en-US" w:eastAsia="zh-CN"/>
        </w:rPr>
        <w:t>㎡</w:t>
      </w:r>
      <w:r>
        <w:rPr>
          <w:rFonts w:hint="eastAsia" w:ascii="仿宋_GB2312" w:eastAsia="仿宋_GB2312" w:cs="仿宋_GB2312"/>
          <w:color w:val="auto"/>
          <w:sz w:val="32"/>
          <w:szCs w:val="32"/>
          <w:highlight w:val="none"/>
        </w:rPr>
        <w:t>面积标准房源;DE类人才可认购120</w:t>
      </w:r>
      <w:r>
        <w:rPr>
          <w:rFonts w:hint="eastAsia" w:ascii="仿宋_GB2312" w:eastAsia="仿宋_GB2312" w:cs="仿宋_GB2312"/>
          <w:color w:val="auto"/>
          <w:sz w:val="32"/>
          <w:szCs w:val="32"/>
          <w:highlight w:val="none"/>
          <w:lang w:val="en-US" w:eastAsia="zh-CN"/>
        </w:rPr>
        <w:t>㎡</w:t>
      </w:r>
      <w:r>
        <w:rPr>
          <w:rFonts w:hint="eastAsia" w:ascii="仿宋_GB2312" w:eastAsia="仿宋_GB2312" w:cs="仿宋_GB2312"/>
          <w:color w:val="auto"/>
          <w:sz w:val="32"/>
          <w:szCs w:val="32"/>
          <w:highlight w:val="none"/>
        </w:rPr>
        <w:t>面积标准的房源，也可自愿降档认购90</w:t>
      </w:r>
      <w:r>
        <w:rPr>
          <w:rFonts w:hint="eastAsia" w:ascii="仿宋_GB2312" w:eastAsia="仿宋_GB2312" w:cs="仿宋_GB2312"/>
          <w:color w:val="auto"/>
          <w:sz w:val="32"/>
          <w:szCs w:val="32"/>
          <w:highlight w:val="none"/>
          <w:lang w:val="en-US" w:eastAsia="zh-CN"/>
        </w:rPr>
        <w:t>㎡</w:t>
      </w:r>
      <w:r>
        <w:rPr>
          <w:rFonts w:hint="eastAsia" w:ascii="仿宋_GB2312" w:eastAsia="仿宋_GB2312" w:cs="仿宋_GB2312"/>
          <w:color w:val="auto"/>
          <w:sz w:val="32"/>
          <w:szCs w:val="32"/>
          <w:highlight w:val="none"/>
        </w:rPr>
        <w:t>面积标准房源。</w:t>
      </w:r>
    </w:p>
    <w:p>
      <w:pPr>
        <w:spacing w:line="560" w:lineRule="exact"/>
        <w:ind w:firstLine="640" w:firstLineChars="200"/>
        <w:rPr>
          <w:rFonts w:hint="eastAsia" w:ascii="仿宋_GB2312" w:eastAsia="仿宋_GB2312" w:cs="仿宋_GB2312"/>
          <w:color w:val="auto"/>
          <w:sz w:val="32"/>
          <w:szCs w:val="32"/>
          <w:highlight w:val="none"/>
          <w:lang w:val="en-US"/>
        </w:rPr>
      </w:pPr>
      <w:r>
        <w:rPr>
          <w:rFonts w:hint="eastAsia" w:ascii="仿宋_GB2312" w:eastAsia="仿宋_GB2312" w:cs="仿宋_GB2312"/>
          <w:color w:val="auto"/>
          <w:sz w:val="32"/>
          <w:szCs w:val="32"/>
          <w:highlight w:val="none"/>
        </w:rPr>
        <w:t>（</w:t>
      </w:r>
      <w:r>
        <w:rPr>
          <w:rFonts w:hint="eastAsia" w:ascii="仿宋_GB2312" w:eastAsia="仿宋_GB2312" w:cs="仿宋_GB2312"/>
          <w:color w:val="auto"/>
          <w:sz w:val="32"/>
          <w:szCs w:val="32"/>
          <w:highlight w:val="none"/>
          <w:lang w:val="en-US" w:eastAsia="zh-CN"/>
        </w:rPr>
        <w:t>三</w:t>
      </w:r>
      <w:r>
        <w:rPr>
          <w:rFonts w:hint="eastAsia" w:asci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申请</w:t>
      </w:r>
      <w:r>
        <w:rPr>
          <w:rFonts w:hint="eastAsia" w:ascii="仿宋_GB2312" w:hAnsi="仿宋_GB2312" w:eastAsia="仿宋_GB2312" w:cs="仿宋_GB2312"/>
          <w:sz w:val="32"/>
          <w:szCs w:val="32"/>
          <w:highlight w:val="none"/>
        </w:rPr>
        <w:t>人选购的人才住房建筑面积超过申请人所属层次类别配售面积标准的，超过的面积部分按照</w:t>
      </w:r>
      <w:r>
        <w:rPr>
          <w:rFonts w:hint="eastAsia" w:ascii="仿宋_GB2312" w:hAnsi="仿宋_GB2312" w:eastAsia="仿宋_GB2312" w:cs="仿宋_GB2312"/>
          <w:sz w:val="32"/>
          <w:szCs w:val="32"/>
          <w:highlight w:val="none"/>
          <w:lang w:val="en-US" w:eastAsia="zh-CN"/>
        </w:rPr>
        <w:t>备案价（核定价）的100%</w:t>
      </w:r>
      <w:r>
        <w:rPr>
          <w:rFonts w:hint="eastAsia" w:ascii="仿宋_GB2312" w:hAnsi="仿宋_GB2312" w:eastAsia="仿宋_GB2312" w:cs="仿宋_GB2312"/>
          <w:sz w:val="32"/>
          <w:szCs w:val="32"/>
          <w:highlight w:val="none"/>
        </w:rPr>
        <w:t>计收购房款</w:t>
      </w:r>
      <w:r>
        <w:rPr>
          <w:rFonts w:hint="eastAsia" w:ascii="仿宋_GB2312" w:eastAsia="仿宋_GB2312" w:cs="仿宋_GB2312"/>
          <w:color w:val="auto"/>
          <w:sz w:val="32"/>
          <w:szCs w:val="32"/>
          <w:highlight w:val="none"/>
        </w:rPr>
        <w:t>。</w:t>
      </w:r>
    </w:p>
    <w:p>
      <w:pPr>
        <w:spacing w:line="560" w:lineRule="exact"/>
        <w:ind w:firstLine="640" w:firstLineChars="200"/>
        <w:rPr>
          <w:rFonts w:hint="default" w:ascii="仿宋_GB2312" w:eastAsia="仿宋_GB2312" w:cs="仿宋_GB2312"/>
          <w:color w:val="auto"/>
          <w:sz w:val="32"/>
          <w:szCs w:val="32"/>
          <w:highlight w:val="none"/>
          <w:lang w:val="en-US"/>
        </w:rPr>
      </w:pPr>
      <w:r>
        <w:rPr>
          <w:rFonts w:hint="eastAsia" w:ascii="仿宋_GB2312" w:eastAsia="仿宋_GB2312" w:cs="仿宋_GB2312"/>
          <w:color w:val="auto"/>
          <w:sz w:val="32"/>
          <w:szCs w:val="32"/>
          <w:highlight w:val="none"/>
        </w:rPr>
        <w:t>（</w:t>
      </w:r>
      <w:r>
        <w:rPr>
          <w:rFonts w:hint="eastAsia" w:ascii="仿宋_GB2312" w:eastAsia="仿宋_GB2312" w:cs="仿宋_GB2312"/>
          <w:color w:val="auto"/>
          <w:sz w:val="32"/>
          <w:szCs w:val="32"/>
          <w:highlight w:val="none"/>
          <w:lang w:val="en-US" w:eastAsia="zh-CN"/>
        </w:rPr>
        <w:t>四</w:t>
      </w:r>
      <w:r>
        <w:rPr>
          <w:rFonts w:hint="eastAsia" w:ascii="仿宋_GB2312" w:eastAsia="仿宋_GB2312" w:cs="仿宋_GB2312"/>
          <w:color w:val="auto"/>
          <w:sz w:val="32"/>
          <w:szCs w:val="32"/>
          <w:highlight w:val="none"/>
        </w:rPr>
        <w:t>）</w:t>
      </w:r>
      <w:r>
        <w:rPr>
          <w:rFonts w:hint="eastAsia" w:ascii="仿宋_GB2312" w:hAnsi="华文仿宋" w:eastAsia="仿宋_GB2312" w:cs="仿宋_GB2312"/>
          <w:color w:val="auto"/>
          <w:sz w:val="32"/>
          <w:szCs w:val="32"/>
          <w:highlight w:val="none"/>
        </w:rPr>
        <w:t>夫妻双方均符合配售</w:t>
      </w:r>
      <w:r>
        <w:rPr>
          <w:rFonts w:hint="eastAsia" w:ascii="仿宋_GB2312" w:hAnsi="华文仿宋" w:eastAsia="仿宋_GB2312" w:cs="仿宋_GB2312"/>
          <w:color w:val="auto"/>
          <w:sz w:val="32"/>
          <w:szCs w:val="32"/>
          <w:highlight w:val="none"/>
          <w:lang w:val="en-US" w:eastAsia="zh-CN"/>
        </w:rPr>
        <w:t>资格且共同申请</w:t>
      </w:r>
      <w:r>
        <w:rPr>
          <w:rFonts w:hint="eastAsia" w:ascii="仿宋_GB2312" w:hAnsi="华文仿宋" w:eastAsia="仿宋_GB2312" w:cs="仿宋_GB2312"/>
          <w:color w:val="auto"/>
          <w:sz w:val="32"/>
          <w:szCs w:val="32"/>
          <w:highlight w:val="none"/>
        </w:rPr>
        <w:t>的，</w:t>
      </w:r>
      <w:r>
        <w:rPr>
          <w:rFonts w:hint="eastAsia" w:ascii="仿宋_GB2312" w:hAnsi="华文仿宋" w:eastAsia="仿宋_GB2312" w:cs="仿宋_GB2312"/>
          <w:color w:val="auto"/>
          <w:sz w:val="32"/>
          <w:szCs w:val="32"/>
          <w:highlight w:val="none"/>
          <w:lang w:val="en-US" w:eastAsia="zh-CN"/>
        </w:rPr>
        <w:t>认购</w:t>
      </w:r>
      <w:r>
        <w:rPr>
          <w:rFonts w:hint="eastAsia" w:ascii="仿宋_GB2312" w:hAnsi="华文仿宋" w:eastAsia="仿宋_GB2312" w:cs="仿宋_GB2312"/>
          <w:color w:val="auto"/>
          <w:sz w:val="32"/>
          <w:szCs w:val="32"/>
          <w:highlight w:val="none"/>
        </w:rPr>
        <w:t>人才住房建筑面积超过</w:t>
      </w:r>
      <w:r>
        <w:rPr>
          <w:rFonts w:hint="eastAsia" w:ascii="仿宋_GB2312" w:hAnsi="华文仿宋" w:eastAsia="仿宋_GB2312" w:cs="仿宋_GB2312"/>
          <w:color w:val="auto"/>
          <w:sz w:val="32"/>
          <w:szCs w:val="32"/>
          <w:highlight w:val="none"/>
          <w:lang w:val="en-US" w:eastAsia="zh-CN"/>
        </w:rPr>
        <w:t>主申请人</w:t>
      </w:r>
      <w:r>
        <w:rPr>
          <w:rFonts w:hint="eastAsia" w:ascii="仿宋_GB2312" w:hAnsi="华文仿宋" w:eastAsia="仿宋_GB2312" w:cs="仿宋_GB2312"/>
          <w:color w:val="auto"/>
          <w:sz w:val="32"/>
          <w:szCs w:val="32"/>
          <w:highlight w:val="none"/>
        </w:rPr>
        <w:t>配售面积标准</w:t>
      </w:r>
      <w:r>
        <w:rPr>
          <w:rFonts w:hint="eastAsia" w:ascii="仿宋_GB2312" w:hAnsi="华文仿宋" w:eastAsia="仿宋_GB2312" w:cs="仿宋_GB2312"/>
          <w:color w:val="auto"/>
          <w:sz w:val="32"/>
          <w:szCs w:val="32"/>
          <w:highlight w:val="none"/>
          <w:lang w:val="en-US" w:eastAsia="zh-CN"/>
        </w:rPr>
        <w:t>部分，按主申请人人才层次享受折扣优惠</w:t>
      </w:r>
      <w:r>
        <w:rPr>
          <w:rFonts w:hint="eastAsia" w:ascii="Times New Roman" w:hAnsi="Times New Roman" w:eastAsia="仿宋_GB2312" w:cs="仿宋_GB2312"/>
          <w:w w:val="100"/>
          <w:kern w:val="0"/>
          <w:sz w:val="32"/>
          <w:szCs w:val="32"/>
          <w:highlight w:val="none"/>
          <w:lang w:val="en-US" w:eastAsia="zh-CN" w:bidi="ar"/>
        </w:rPr>
        <w:t>。</w:t>
      </w:r>
    </w:p>
    <w:p>
      <w:pPr>
        <w:spacing w:line="560" w:lineRule="exact"/>
        <w:ind w:firstLine="640" w:firstLineChars="200"/>
        <w:rPr>
          <w:rFonts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w:t>
      </w:r>
      <w:r>
        <w:rPr>
          <w:rFonts w:hint="eastAsia" w:ascii="仿宋_GB2312" w:eastAsia="仿宋_GB2312" w:cs="仿宋_GB2312"/>
          <w:color w:val="auto"/>
          <w:sz w:val="32"/>
          <w:szCs w:val="32"/>
          <w:highlight w:val="none"/>
          <w:lang w:val="en-US" w:eastAsia="zh-CN"/>
        </w:rPr>
        <w:t>五</w:t>
      </w:r>
      <w:r>
        <w:rPr>
          <w:rFonts w:hint="eastAsia" w:ascii="仿宋_GB2312" w:eastAsia="仿宋_GB2312" w:cs="仿宋_GB2312"/>
          <w:color w:val="auto"/>
          <w:sz w:val="32"/>
          <w:szCs w:val="32"/>
          <w:highlight w:val="none"/>
        </w:rPr>
        <w:t>）</w:t>
      </w:r>
      <w:r>
        <w:rPr>
          <w:rFonts w:hint="eastAsia" w:ascii="仿宋_GB2312" w:hAnsi="仿宋_GB2312" w:eastAsia="仿宋_GB2312" w:cs="仿宋_GB2312"/>
          <w:sz w:val="32"/>
          <w:szCs w:val="32"/>
          <w:highlight w:val="none"/>
        </w:rPr>
        <w:t>申</w:t>
      </w:r>
      <w:r>
        <w:rPr>
          <w:rFonts w:hint="eastAsia" w:ascii="仿宋_GB2312" w:hAnsi="仿宋_GB2312" w:eastAsia="仿宋_GB2312" w:cs="仿宋_GB2312"/>
          <w:sz w:val="32"/>
          <w:szCs w:val="32"/>
          <w:highlight w:val="none"/>
          <w:lang w:val="en-US" w:eastAsia="zh-CN"/>
        </w:rPr>
        <w:t>请</w:t>
      </w:r>
      <w:r>
        <w:rPr>
          <w:rFonts w:hint="eastAsia" w:ascii="仿宋_GB2312" w:hAnsi="仿宋_GB2312" w:eastAsia="仿宋_GB2312" w:cs="仿宋_GB2312"/>
          <w:sz w:val="32"/>
          <w:szCs w:val="32"/>
          <w:highlight w:val="none"/>
        </w:rPr>
        <w:t>人</w:t>
      </w:r>
      <w:r>
        <w:rPr>
          <w:rFonts w:hint="eastAsia" w:ascii="仿宋_GB2312" w:hAnsi="仿宋_GB2312" w:eastAsia="仿宋_GB2312" w:cs="仿宋_GB2312"/>
          <w:color w:val="auto"/>
          <w:sz w:val="32"/>
          <w:szCs w:val="32"/>
          <w:highlight w:val="none"/>
          <w:lang w:val="en-US" w:eastAsia="zh-CN"/>
        </w:rPr>
        <w:t>自愿认购低于本人所属人才层次类别应享受的户型面积标准时，按所认购的户型面积享受对应的折扣优惠（</w:t>
      </w:r>
      <w:r>
        <w:rPr>
          <w:rFonts w:hint="eastAsia" w:ascii="Times New Roman" w:hAnsi="Times New Roman" w:eastAsia="仿宋_GB2312" w:cs="仿宋_GB2312"/>
          <w:color w:val="auto"/>
          <w:sz w:val="32"/>
          <w:szCs w:val="32"/>
          <w:highlight w:val="none"/>
          <w:lang w:val="en-US" w:eastAsia="zh-CN"/>
        </w:rPr>
        <w:t>120</w:t>
      </w:r>
      <w:r>
        <w:rPr>
          <w:rFonts w:hint="eastAsia" w:ascii="仿宋_GB2312" w:hAnsi="仿宋_GB2312" w:eastAsia="仿宋_GB2312" w:cs="仿宋_GB2312"/>
          <w:color w:val="auto"/>
          <w:sz w:val="32"/>
          <w:szCs w:val="32"/>
          <w:highlight w:val="none"/>
          <w:lang w:val="en-US" w:eastAsia="zh-CN"/>
        </w:rPr>
        <w:t>㎡、</w:t>
      </w:r>
      <w:r>
        <w:rPr>
          <w:rFonts w:hint="eastAsia" w:ascii="Times New Roman" w:hAnsi="Times New Roman"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lang w:val="en-US" w:eastAsia="zh-CN"/>
        </w:rPr>
        <w:t>㎡面积标准对应的折扣优惠分别为备案价的</w:t>
      </w:r>
      <w:r>
        <w:rPr>
          <w:rFonts w:hint="eastAsia" w:ascii="Times New Roman" w:hAnsi="Times New Roman" w:eastAsia="仿宋_GB2312" w:cs="仿宋_GB2312"/>
          <w:color w:val="auto"/>
          <w:sz w:val="32"/>
          <w:szCs w:val="32"/>
          <w:highlight w:val="none"/>
          <w:lang w:val="en-US" w:eastAsia="zh-CN"/>
        </w:rPr>
        <w:t>60</w:t>
      </w:r>
      <w:r>
        <w:rPr>
          <w:rFonts w:hint="eastAsia" w:ascii="仿宋_GB2312" w:hAnsi="仿宋_GB2312" w:eastAsia="仿宋_GB2312" w:cs="仿宋_GB2312"/>
          <w:color w:val="auto"/>
          <w:sz w:val="32"/>
          <w:szCs w:val="32"/>
          <w:highlight w:val="none"/>
          <w:lang w:val="en-US" w:eastAsia="zh-CN"/>
        </w:rPr>
        <w:t>%、</w:t>
      </w:r>
      <w:r>
        <w:rPr>
          <w:rFonts w:hint="eastAsia" w:ascii="Times New Roman" w:hAnsi="Times New Roman" w:eastAsia="仿宋_GB2312" w:cs="仿宋_GB2312"/>
          <w:color w:val="auto"/>
          <w:sz w:val="32"/>
          <w:szCs w:val="32"/>
          <w:highlight w:val="none"/>
          <w:lang w:val="en-US" w:eastAsia="zh-CN"/>
        </w:rPr>
        <w:t>70</w:t>
      </w:r>
      <w:r>
        <w:rPr>
          <w:rFonts w:hint="eastAsia" w:ascii="仿宋_GB2312" w:hAnsi="仿宋_GB2312" w:eastAsia="仿宋_GB2312" w:cs="仿宋_GB2312"/>
          <w:color w:val="auto"/>
          <w:sz w:val="32"/>
          <w:szCs w:val="32"/>
          <w:highlight w:val="none"/>
          <w:lang w:val="en-US" w:eastAsia="zh-CN"/>
        </w:rPr>
        <w:t>%），并不再以申请配售、补贴等形式进行补差</w:t>
      </w:r>
      <w:r>
        <w:rPr>
          <w:rFonts w:hint="eastAsia" w:ascii="仿宋_GB2312" w:hAnsi="仿宋_GB2312" w:eastAsia="仿宋_GB2312" w:cs="仿宋_GB2312"/>
          <w:color w:val="auto"/>
          <w:sz w:val="32"/>
          <w:szCs w:val="32"/>
          <w:highlight w:val="none"/>
        </w:rPr>
        <w:t>。</w:t>
      </w:r>
    </w:p>
    <w:p>
      <w:pPr>
        <w:pStyle w:val="7"/>
        <w:widowControl/>
        <w:spacing w:before="0" w:beforeAutospacing="0" w:after="0" w:afterAutospacing="0" w:line="560" w:lineRule="exact"/>
        <w:ind w:firstLine="640" w:firstLineChars="200"/>
        <w:jc w:val="both"/>
        <w:rPr>
          <w:rFonts w:hint="eastAsia" w:ascii="仿宋_GB2312" w:eastAsia="仿宋_GB2312" w:cs="仿宋_GB2312"/>
          <w:color w:val="auto"/>
          <w:kern w:val="2"/>
          <w:sz w:val="32"/>
          <w:szCs w:val="32"/>
          <w:highlight w:val="none"/>
        </w:rPr>
      </w:pPr>
      <w:r>
        <w:rPr>
          <w:rFonts w:hint="eastAsia" w:ascii="仿宋_GB2312" w:eastAsia="仿宋_GB2312" w:cs="仿宋_GB2312"/>
          <w:color w:val="auto"/>
          <w:kern w:val="2"/>
          <w:sz w:val="32"/>
          <w:szCs w:val="32"/>
          <w:highlight w:val="none"/>
        </w:rPr>
        <w:t>（</w:t>
      </w:r>
      <w:r>
        <w:rPr>
          <w:rFonts w:hint="eastAsia" w:ascii="仿宋_GB2312" w:eastAsia="仿宋_GB2312" w:cs="仿宋_GB2312"/>
          <w:color w:val="auto"/>
          <w:kern w:val="2"/>
          <w:sz w:val="32"/>
          <w:szCs w:val="32"/>
          <w:highlight w:val="none"/>
          <w:lang w:val="en-US" w:eastAsia="zh-CN"/>
        </w:rPr>
        <w:t>六</w:t>
      </w:r>
      <w:r>
        <w:rPr>
          <w:rFonts w:hint="eastAsia" w:ascii="仿宋_GB2312" w:eastAsia="仿宋_GB2312" w:cs="仿宋_GB2312"/>
          <w:color w:val="auto"/>
          <w:kern w:val="2"/>
          <w:sz w:val="32"/>
          <w:szCs w:val="32"/>
          <w:highlight w:val="none"/>
        </w:rPr>
        <w:t>）根据《浙江省人民政府办公厅关于推进绿色建筑和建筑工业化发展的实施意见》和《浙江省人民政府办公厅关于加快推进住宅全装修工作的指导意见》等</w:t>
      </w:r>
      <w:r>
        <w:rPr>
          <w:rFonts w:ascii="仿宋_GB2312" w:eastAsia="仿宋_GB2312" w:cs="仿宋_GB2312"/>
          <w:color w:val="auto"/>
          <w:kern w:val="2"/>
          <w:sz w:val="32"/>
          <w:szCs w:val="32"/>
          <w:highlight w:val="none"/>
        </w:rPr>
        <w:t>相关文件</w:t>
      </w:r>
      <w:r>
        <w:rPr>
          <w:rFonts w:hint="eastAsia" w:ascii="仿宋_GB2312" w:eastAsia="仿宋_GB2312" w:cs="仿宋_GB2312"/>
          <w:color w:val="auto"/>
          <w:kern w:val="2"/>
          <w:sz w:val="32"/>
          <w:szCs w:val="32"/>
          <w:highlight w:val="none"/>
        </w:rPr>
        <w:t>的</w:t>
      </w:r>
      <w:r>
        <w:rPr>
          <w:rFonts w:ascii="仿宋_GB2312" w:eastAsia="仿宋_GB2312" w:cs="仿宋_GB2312"/>
          <w:color w:val="auto"/>
          <w:kern w:val="2"/>
          <w:sz w:val="32"/>
          <w:szCs w:val="32"/>
          <w:highlight w:val="none"/>
        </w:rPr>
        <w:t>规定，</w:t>
      </w:r>
      <w:r>
        <w:rPr>
          <w:rFonts w:hint="eastAsia" w:ascii="仿宋_GB2312" w:eastAsia="仿宋_GB2312" w:cs="仿宋_GB2312"/>
          <w:color w:val="auto"/>
          <w:kern w:val="2"/>
          <w:sz w:val="32"/>
          <w:szCs w:val="32"/>
          <w:highlight w:val="none"/>
        </w:rPr>
        <w:t>配售人才住房房源为全装修住房的，装修标准由申请人按照预售方案明确的装修标准自行选择确定，装修费用由申请人个人承担。</w:t>
      </w:r>
    </w:p>
    <w:p>
      <w:pPr>
        <w:spacing w:line="560" w:lineRule="exact"/>
        <w:ind w:firstLine="640" w:firstLineChars="200"/>
        <w:rPr>
          <w:rFonts w:hint="eastAsia" w:ascii="仿宋_GB2312" w:eastAsia="仿宋_GB2312" w:cs="仿宋_GB2312"/>
          <w:color w:val="auto"/>
          <w:kern w:val="2"/>
          <w:sz w:val="32"/>
          <w:szCs w:val="32"/>
          <w:highlight w:val="none"/>
        </w:rPr>
      </w:pPr>
      <w:r>
        <w:rPr>
          <w:rFonts w:hint="eastAsia" w:ascii="仿宋_GB2312" w:eastAsia="仿宋_GB2312" w:cs="仿宋_GB2312"/>
          <w:color w:val="auto"/>
          <w:sz w:val="32"/>
          <w:szCs w:val="32"/>
          <w:highlight w:val="none"/>
        </w:rPr>
        <w:t>（</w:t>
      </w:r>
      <w:r>
        <w:rPr>
          <w:rFonts w:hint="eastAsia" w:ascii="仿宋_GB2312" w:eastAsia="仿宋_GB2312" w:cs="仿宋_GB2312"/>
          <w:color w:val="auto"/>
          <w:sz w:val="32"/>
          <w:szCs w:val="32"/>
          <w:highlight w:val="none"/>
          <w:lang w:val="en-US" w:eastAsia="zh-CN"/>
        </w:rPr>
        <w:t>七</w:t>
      </w:r>
      <w:r>
        <w:rPr>
          <w:rFonts w:hint="eastAsia" w:ascii="仿宋_GB2312" w:eastAsia="仿宋_GB2312" w:cs="仿宋_GB2312"/>
          <w:color w:val="auto"/>
          <w:sz w:val="32"/>
          <w:szCs w:val="32"/>
          <w:highlight w:val="none"/>
        </w:rPr>
        <w:t>）人才房项目备案均价</w:t>
      </w:r>
      <w:r>
        <w:rPr>
          <w:rFonts w:hint="eastAsia" w:ascii="仿宋_GB2312" w:eastAsia="仿宋_GB2312" w:cs="仿宋_GB2312"/>
          <w:color w:val="auto"/>
          <w:sz w:val="32"/>
          <w:szCs w:val="32"/>
          <w:highlight w:val="none"/>
          <w:lang w:val="en-US" w:eastAsia="zh-CN"/>
        </w:rPr>
        <w:t>及一房一价</w:t>
      </w:r>
      <w:r>
        <w:rPr>
          <w:rFonts w:hint="eastAsia" w:ascii="仿宋_GB2312" w:eastAsia="仿宋_GB2312" w:cs="仿宋_GB2312"/>
          <w:color w:val="auto"/>
          <w:sz w:val="32"/>
          <w:szCs w:val="32"/>
          <w:highlight w:val="none"/>
        </w:rPr>
        <w:t>将在后续认购</w:t>
      </w:r>
      <w:r>
        <w:rPr>
          <w:rFonts w:hint="eastAsia" w:ascii="仿宋_GB2312" w:eastAsia="仿宋_GB2312" w:cs="仿宋_GB2312"/>
          <w:color w:val="auto"/>
          <w:sz w:val="32"/>
          <w:szCs w:val="32"/>
          <w:highlight w:val="none"/>
          <w:lang w:eastAsia="zh-CN"/>
        </w:rPr>
        <w:t>通告</w:t>
      </w:r>
      <w:r>
        <w:rPr>
          <w:rFonts w:hint="eastAsia" w:ascii="仿宋_GB2312" w:eastAsia="仿宋_GB2312" w:cs="仿宋_GB2312"/>
          <w:color w:val="auto"/>
          <w:sz w:val="32"/>
          <w:szCs w:val="32"/>
          <w:highlight w:val="none"/>
        </w:rPr>
        <w:t>中公布。</w:t>
      </w:r>
    </w:p>
    <w:p>
      <w:pPr>
        <w:spacing w:line="560" w:lineRule="exact"/>
        <w:ind w:firstLine="640" w:firstLineChars="200"/>
        <w:rPr>
          <w:rFonts w:ascii="仿宋_GB2312" w:eastAsia="仿宋_GB2312"/>
          <w:color w:val="auto"/>
          <w:sz w:val="32"/>
          <w:szCs w:val="32"/>
          <w:highlight w:val="none"/>
          <w:lang w:val="en-US"/>
        </w:rPr>
      </w:pPr>
      <w:r>
        <w:rPr>
          <w:rFonts w:hint="eastAsia" w:ascii="黑体" w:hAnsi="黑体" w:eastAsia="黑体"/>
          <w:color w:val="auto"/>
          <w:sz w:val="32"/>
          <w:szCs w:val="32"/>
          <w:highlight w:val="none"/>
          <w:lang w:val="en-US" w:eastAsia="zh-CN"/>
        </w:rPr>
        <w:t>三</w:t>
      </w:r>
      <w:r>
        <w:rPr>
          <w:rFonts w:hint="eastAsia" w:ascii="黑体" w:hAnsi="黑体" w:eastAsia="黑体"/>
          <w:color w:val="auto"/>
          <w:sz w:val="32"/>
          <w:szCs w:val="32"/>
          <w:highlight w:val="none"/>
        </w:rPr>
        <w:t>、户型图</w:t>
      </w:r>
    </w:p>
    <w:p>
      <w:pPr>
        <w:pStyle w:val="3"/>
        <w:ind w:firstLine="320"/>
        <w:rPr>
          <w:color w:val="auto"/>
          <w:highlight w:val="none"/>
          <w:lang w:val="en-US"/>
        </w:rPr>
      </w:pPr>
      <w:r>
        <w:rPr>
          <w:rFonts w:hint="eastAsia" w:ascii="仿宋_GB2312" w:hAnsi="Calibri" w:eastAsia="仿宋_GB2312" w:cs="Times New Roman"/>
          <w:strike w:val="0"/>
          <w:dstrike w:val="0"/>
          <w:color w:val="auto"/>
          <w:kern w:val="0"/>
          <w:sz w:val="32"/>
          <w:szCs w:val="32"/>
          <w:highlight w:val="none"/>
          <w:lang w:bidi="ar-SA"/>
        </w:rPr>
        <w:t>温州市核心片区广化单元黄龙商贸城街坊</w:t>
      </w:r>
      <w:r>
        <w:rPr>
          <w:rFonts w:hint="eastAsia" w:ascii="仿宋_GB2312" w:eastAsia="仿宋_GB2312" w:cs="Times New Roman"/>
          <w:strike w:val="0"/>
          <w:dstrike w:val="0"/>
          <w:color w:val="auto"/>
          <w:kern w:val="0"/>
          <w:sz w:val="32"/>
          <w:szCs w:val="32"/>
          <w:highlight w:val="none"/>
          <w:lang w:val="en-US" w:eastAsia="zh-CN" w:bidi="ar-SA"/>
        </w:rPr>
        <w:t>三</w:t>
      </w:r>
      <w:r>
        <w:rPr>
          <w:rFonts w:hint="eastAsia" w:ascii="仿宋_GB2312" w:hAnsi="Calibri" w:eastAsia="仿宋_GB2312" w:cs="Times New Roman"/>
          <w:strike w:val="0"/>
          <w:dstrike w:val="0"/>
          <w:color w:val="auto"/>
          <w:kern w:val="0"/>
          <w:sz w:val="32"/>
          <w:szCs w:val="32"/>
          <w:highlight w:val="none"/>
          <w:lang w:bidi="ar-SA"/>
        </w:rPr>
        <w:t>期地块</w:t>
      </w:r>
      <w:r>
        <w:rPr>
          <w:rFonts w:hint="eastAsia" w:ascii="仿宋_GB2312" w:eastAsia="仿宋_GB2312" w:cs="Times New Roman"/>
          <w:strike w:val="0"/>
          <w:dstrike w:val="0"/>
          <w:color w:val="auto"/>
          <w:kern w:val="0"/>
          <w:sz w:val="32"/>
          <w:szCs w:val="32"/>
          <w:highlight w:val="none"/>
          <w:lang w:eastAsia="zh-CN" w:bidi="ar-SA"/>
        </w:rPr>
        <w:t>（</w:t>
      </w:r>
      <w:r>
        <w:rPr>
          <w:rFonts w:hint="eastAsia" w:ascii="仿宋_GB2312" w:eastAsia="仿宋_GB2312" w:cs="Times New Roman"/>
          <w:strike w:val="0"/>
          <w:dstrike w:val="0"/>
          <w:color w:val="auto"/>
          <w:kern w:val="0"/>
          <w:sz w:val="32"/>
          <w:szCs w:val="32"/>
          <w:highlight w:val="none"/>
          <w:lang w:val="en-US" w:eastAsia="zh-CN" w:bidi="ar-SA"/>
        </w:rPr>
        <w:t>榕辰里</w:t>
      </w:r>
      <w:r>
        <w:rPr>
          <w:rFonts w:hint="eastAsia" w:ascii="仿宋_GB2312" w:eastAsia="仿宋_GB2312" w:cs="Times New Roman"/>
          <w:strike w:val="0"/>
          <w:dstrike w:val="0"/>
          <w:color w:val="auto"/>
          <w:kern w:val="0"/>
          <w:sz w:val="32"/>
          <w:szCs w:val="32"/>
          <w:highlight w:val="none"/>
          <w:lang w:eastAsia="zh-CN" w:bidi="ar-SA"/>
        </w:rPr>
        <w:t>）</w:t>
      </w:r>
      <w:r>
        <w:rPr>
          <w:rFonts w:hint="eastAsia" w:ascii="仿宋" w:hAnsi="仿宋" w:eastAsia="仿宋" w:cs="仿宋"/>
          <w:color w:val="auto"/>
          <w:sz w:val="32"/>
          <w:szCs w:val="32"/>
          <w:highlight w:val="none"/>
          <w:lang w:val="en-US"/>
        </w:rPr>
        <w:t>：</w:t>
      </w:r>
    </w:p>
    <w:p>
      <w:pPr>
        <w:pStyle w:val="3"/>
        <w:ind w:left="0" w:firstLine="0" w:firstLineChars="0"/>
        <w:rPr>
          <w:rFonts w:ascii="仿宋_GB2312" w:eastAsia="仿宋_GB2312"/>
          <w:color w:val="auto"/>
          <w:sz w:val="32"/>
          <w:szCs w:val="32"/>
          <w:highlight w:val="none"/>
          <w:lang w:val="en-US"/>
        </w:rPr>
      </w:pPr>
      <w:r>
        <w:rPr>
          <w:rFonts w:hint="eastAsia" w:ascii="仿宋_GB2312" w:eastAsia="仿宋_GB2312"/>
          <w:color w:val="auto"/>
          <w:sz w:val="32"/>
          <w:szCs w:val="32"/>
          <w:highlight w:val="none"/>
          <w:lang w:val="en-US" w:bidi="ar-SA"/>
        </w:rPr>
        <w:drawing>
          <wp:inline distT="0" distB="0" distL="114300" distR="114300">
            <wp:extent cx="5542280" cy="5542280"/>
            <wp:effectExtent l="0" t="0" r="5080" b="5080"/>
            <wp:docPr id="2" name="图片 2" descr="6fc45b6669d463705f89c2c679fd4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fc45b6669d463705f89c2c679fd4d1"/>
                    <pic:cNvPicPr>
                      <a:picLocks noChangeAspect="1"/>
                    </pic:cNvPicPr>
                  </pic:nvPicPr>
                  <pic:blipFill>
                    <a:blip r:embed="rId4"/>
                    <a:stretch>
                      <a:fillRect/>
                    </a:stretch>
                  </pic:blipFill>
                  <pic:spPr>
                    <a:xfrm>
                      <a:off x="0" y="0"/>
                      <a:ext cx="5542280" cy="5542280"/>
                    </a:xfrm>
                    <a:prstGeom prst="rect">
                      <a:avLst/>
                    </a:prstGeom>
                  </pic:spPr>
                </pic:pic>
              </a:graphicData>
            </a:graphic>
          </wp:inline>
        </w:drawing>
      </w:r>
      <w:r>
        <w:rPr>
          <w:rFonts w:hint="eastAsia" w:ascii="仿宋_GB2312" w:eastAsia="仿宋_GB2312"/>
          <w:color w:val="auto"/>
          <w:sz w:val="32"/>
          <w:szCs w:val="32"/>
          <w:highlight w:val="none"/>
          <w:lang w:val="en-US" w:bidi="ar-SA"/>
        </w:rPr>
        <w:drawing>
          <wp:inline distT="0" distB="0" distL="114300" distR="114300">
            <wp:extent cx="5899150" cy="5840095"/>
            <wp:effectExtent l="0" t="0" r="13970" b="12065"/>
            <wp:docPr id="3" name="图片 3" descr="464a38fe8e32a7943154ca7ad37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64a38fe8e32a7943154ca7ad370610"/>
                    <pic:cNvPicPr>
                      <a:picLocks noChangeAspect="1"/>
                    </pic:cNvPicPr>
                  </pic:nvPicPr>
                  <pic:blipFill>
                    <a:blip r:embed="rId5"/>
                    <a:stretch>
                      <a:fillRect/>
                    </a:stretch>
                  </pic:blipFill>
                  <pic:spPr>
                    <a:xfrm>
                      <a:off x="0" y="0"/>
                      <a:ext cx="5899150" cy="5840095"/>
                    </a:xfrm>
                    <a:prstGeom prst="rect">
                      <a:avLst/>
                    </a:prstGeom>
                  </pic:spPr>
                </pic:pic>
              </a:graphicData>
            </a:graphic>
          </wp:inline>
        </w:drawing>
      </w:r>
    </w:p>
    <w:p>
      <w:pPr>
        <w:pStyle w:val="3"/>
        <w:ind w:left="0" w:firstLine="0" w:firstLineChars="0"/>
        <w:rPr>
          <w:rFonts w:ascii="仿宋_GB2312" w:eastAsia="仿宋_GB2312"/>
          <w:color w:val="auto"/>
          <w:sz w:val="32"/>
          <w:szCs w:val="32"/>
          <w:highlight w:val="none"/>
          <w:lang w:val="en-US"/>
        </w:rPr>
      </w:pPr>
    </w:p>
    <w:p>
      <w:pPr>
        <w:pStyle w:val="3"/>
        <w:ind w:left="0" w:firstLine="0" w:firstLineChars="0"/>
        <w:rPr>
          <w:rFonts w:ascii="仿宋_GB2312" w:eastAsia="仿宋_GB2312"/>
          <w:color w:val="auto"/>
          <w:sz w:val="32"/>
          <w:szCs w:val="32"/>
          <w:highlight w:val="none"/>
          <w:lang w:val="en-US"/>
        </w:rPr>
        <w:sectPr>
          <w:pgSz w:w="11906" w:h="16838"/>
          <w:pgMar w:top="2098" w:right="1474" w:bottom="1814" w:left="1587" w:header="851" w:footer="1361" w:gutter="0"/>
          <w:pgNumType w:fmt="numberInDash"/>
          <w:cols w:space="720" w:num="1"/>
          <w:docGrid w:type="lines" w:linePitch="312" w:charSpace="0"/>
        </w:sectPr>
      </w:pPr>
    </w:p>
    <w:p>
      <w:pPr>
        <w:pStyle w:val="3"/>
        <w:spacing w:line="560" w:lineRule="exact"/>
        <w:ind w:left="0" w:firstLine="0" w:firstLineChars="0"/>
        <w:rPr>
          <w:rFonts w:ascii="仿宋_GB2312" w:hAnsi="宋体" w:eastAsia="仿宋_GB2312"/>
          <w:color w:val="auto"/>
          <w:kern w:val="0"/>
          <w:sz w:val="31"/>
          <w:szCs w:val="31"/>
          <w:highlight w:val="none"/>
          <w:lang w:val="en-US" w:bidi="ar"/>
        </w:rPr>
      </w:pPr>
      <w:r>
        <w:rPr>
          <w:rFonts w:hint="eastAsia" w:ascii="仿宋_GB2312" w:hAnsi="宋体" w:eastAsia="仿宋_GB2312"/>
          <w:color w:val="auto"/>
          <w:kern w:val="0"/>
          <w:sz w:val="31"/>
          <w:szCs w:val="31"/>
          <w:highlight w:val="none"/>
          <w:lang w:val="en-US" w:bidi="ar"/>
        </w:rPr>
        <w:t>温州市旧城E-30b地块文澜湾：</w:t>
      </w:r>
    </w:p>
    <w:p>
      <w:r>
        <w:rPr>
          <w:rFonts w:hint="eastAsia" w:ascii="仿宋_GB2312" w:hAnsi="宋体" w:eastAsia="仿宋_GB2312"/>
          <w:color w:val="auto"/>
          <w:kern w:val="0"/>
          <w:sz w:val="31"/>
          <w:szCs w:val="31"/>
          <w:highlight w:val="none"/>
          <w:lang w:val="en-US" w:bidi="ar-SA"/>
        </w:rPr>
        <w:drawing>
          <wp:inline distT="0" distB="0" distL="114300" distR="114300">
            <wp:extent cx="5037455" cy="7675880"/>
            <wp:effectExtent l="0" t="0" r="6985" b="5080"/>
            <wp:docPr id="4" name="图片 4" descr="C:/Users/win/AppData/Local/Temp/picturecompress_2022030716180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in/AppData/Local/Temp/picturecompress_20220307161804/output_1.jpgoutput_1"/>
                    <pic:cNvPicPr>
                      <a:picLocks noChangeAspect="1"/>
                    </pic:cNvPicPr>
                  </pic:nvPicPr>
                  <pic:blipFill>
                    <a:blip r:embed="rId6"/>
                    <a:stretch>
                      <a:fillRect/>
                    </a:stretch>
                  </pic:blipFill>
                  <pic:spPr>
                    <a:xfrm>
                      <a:off x="0" y="0"/>
                      <a:ext cx="5037455" cy="7675880"/>
                    </a:xfrm>
                    <a:prstGeom prst="rect">
                      <a:avLst/>
                    </a:prstGeom>
                  </pic:spPr>
                </pic:pic>
              </a:graphicData>
            </a:graphic>
          </wp:inline>
        </w:drawing>
      </w:r>
      <w:r>
        <w:rPr>
          <w:rFonts w:hint="eastAsia" w:ascii="仿宋_GB2312" w:hAnsi="宋体" w:eastAsia="仿宋_GB2312"/>
          <w:color w:val="auto"/>
          <w:kern w:val="0"/>
          <w:sz w:val="31"/>
          <w:szCs w:val="31"/>
          <w:highlight w:val="none"/>
          <w:lang w:val="en-US" w:bidi="ar-SA"/>
        </w:rPr>
        <w:drawing>
          <wp:inline distT="0" distB="0" distL="114300" distR="114300">
            <wp:extent cx="5505450" cy="8387715"/>
            <wp:effectExtent l="0" t="0" r="11430" b="9525"/>
            <wp:docPr id="6" name="图片 6" descr="C:/Users/win/AppData/Local/Temp/picturecompress_20220307161804/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win/AppData/Local/Temp/picturecompress_20220307161804/output_2.jpgoutput_2"/>
                    <pic:cNvPicPr>
                      <a:picLocks noChangeAspect="1"/>
                    </pic:cNvPicPr>
                  </pic:nvPicPr>
                  <pic:blipFill>
                    <a:blip r:embed="rId7"/>
                    <a:stretch>
                      <a:fillRect/>
                    </a:stretch>
                  </pic:blipFill>
                  <pic:spPr>
                    <a:xfrm>
                      <a:off x="0" y="0"/>
                      <a:ext cx="5505450" cy="83877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CE569C8-36BF-40D9-9973-1BC5E4529BF1}"/>
  </w:font>
  <w:font w:name="Arial">
    <w:panose1 w:val="020B0604020202020204"/>
    <w:charset w:val="01"/>
    <w:family w:val="swiss"/>
    <w:pitch w:val="default"/>
    <w:sig w:usb0="E0002EFF" w:usb1="C000785B" w:usb2="00000009" w:usb3="00000000" w:csb0="400001FF" w:csb1="FFFF0000"/>
    <w:embedRegular r:id="rId2" w:fontKey="{EDAB6036-F4EB-49B1-834B-D02C18B8F6A4}"/>
  </w:font>
  <w:font w:name="黑体">
    <w:panose1 w:val="02010609060101010101"/>
    <w:charset w:val="86"/>
    <w:family w:val="auto"/>
    <w:pitch w:val="default"/>
    <w:sig w:usb0="800002BF" w:usb1="38CF7CFA" w:usb2="00000016" w:usb3="00000000" w:csb0="00040001" w:csb1="00000000"/>
    <w:embedRegular r:id="rId3" w:fontKey="{8CB8D2B2-43C8-49C3-84AD-9A8CD186BF11}"/>
  </w:font>
  <w:font w:name="Courier New">
    <w:panose1 w:val="02070309020205020404"/>
    <w:charset w:val="01"/>
    <w:family w:val="modern"/>
    <w:pitch w:val="default"/>
    <w:sig w:usb0="E0002EFF" w:usb1="C0007843" w:usb2="00000009" w:usb3="00000000" w:csb0="400001FF" w:csb1="FFFF0000"/>
    <w:embedRegular r:id="rId4" w:fontKey="{E2500D7A-EFB7-43FD-BE3E-A1524FADA49B}"/>
  </w:font>
  <w:font w:name="Symbol">
    <w:panose1 w:val="05050102010706020507"/>
    <w:charset w:val="02"/>
    <w:family w:val="roman"/>
    <w:pitch w:val="default"/>
    <w:sig w:usb0="00000000" w:usb1="00000000" w:usb2="00000000" w:usb3="00000000" w:csb0="80000000" w:csb1="00000000"/>
    <w:embedRegular r:id="rId5" w:fontKey="{41D9A1F9-20CD-4385-8A39-62FC8AA083EC}"/>
  </w:font>
  <w:font w:name="Calibri">
    <w:panose1 w:val="020F0502020204030204"/>
    <w:charset w:val="00"/>
    <w:family w:val="swiss"/>
    <w:pitch w:val="default"/>
    <w:sig w:usb0="E4002EFF" w:usb1="C200247B" w:usb2="00000009" w:usb3="00000000" w:csb0="200001FF" w:csb1="00000000"/>
    <w:embedRegular r:id="rId6" w:fontKey="{7BCE5CC4-4FB3-400D-81D4-3C62014D8A32}"/>
  </w:font>
  <w:font w:name="仿宋_GB2312">
    <w:panose1 w:val="02010609030101010101"/>
    <w:charset w:val="86"/>
    <w:family w:val="auto"/>
    <w:pitch w:val="default"/>
    <w:sig w:usb0="00000001" w:usb1="080E0000" w:usb2="00000000" w:usb3="00000000" w:csb0="00040000" w:csb1="00000000"/>
    <w:embedRegular r:id="rId7" w:fontKey="{AD57B25A-8BC8-4A45-981B-DB7F6C1D8851}"/>
  </w:font>
  <w:font w:name="小标宋">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embedRegular r:id="rId8" w:fontKey="{835D1E05-54EB-4365-A36C-BA5B00A2C1FA}"/>
  </w:font>
  <w:font w:name="Microsoft YaHei UI">
    <w:panose1 w:val="020B0503020204020204"/>
    <w:charset w:val="86"/>
    <w:family w:val="swiss"/>
    <w:pitch w:val="default"/>
    <w:sig w:usb0="80000287" w:usb1="2ACF3C50" w:usb2="00000016" w:usb3="00000000" w:csb0="0004001F" w:csb1="00000000"/>
    <w:embedRegular r:id="rId9" w:fontKey="{58EADB5C-48BB-48FE-978D-A542AB62B2FA}"/>
  </w:font>
  <w:font w:name="文星简小标宋">
    <w:altName w:val="宋体"/>
    <w:panose1 w:val="00000000000000000000"/>
    <w:charset w:val="86"/>
    <w:family w:val="modern"/>
    <w:pitch w:val="default"/>
    <w:sig w:usb0="00000000" w:usb1="00000000" w:usb2="00000010" w:usb3="00000000" w:csb0="00040000" w:csb1="00000000"/>
    <w:embedRegular r:id="rId10" w:fontKey="{91FC65A7-3CBE-4D55-BFFF-409BB2981A7B}"/>
  </w:font>
  <w:font w:name="华文仿宋">
    <w:panose1 w:val="02010600040101010101"/>
    <w:charset w:val="86"/>
    <w:family w:val="auto"/>
    <w:pitch w:val="default"/>
    <w:sig w:usb0="00000287" w:usb1="080F0000" w:usb2="00000000" w:usb3="00000000" w:csb0="0004009F" w:csb1="DFD70000"/>
    <w:embedRegular r:id="rId11" w:fontKey="{07E07325-AF0B-4EF5-8D45-261A709D322E}"/>
  </w:font>
  <w:font w:name="仿宋">
    <w:panose1 w:val="02010609060101010101"/>
    <w:charset w:val="86"/>
    <w:family w:val="modern"/>
    <w:pitch w:val="default"/>
    <w:sig w:usb0="800002BF" w:usb1="38CF7CFA" w:usb2="00000016" w:usb3="00000000" w:csb0="00040001" w:csb1="00000000"/>
    <w:embedRegular r:id="rId12" w:fontKey="{2716DCBA-EC82-4F5E-A24B-24668028D40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yMWFmNmM5N2Q3YjQzODA0OTlmNjQ0YTUxMmRmNGIifQ=="/>
  </w:docVars>
  <w:rsids>
    <w:rsidRoot w:val="077649DB"/>
    <w:rsid w:val="00C1583D"/>
    <w:rsid w:val="018A0FDC"/>
    <w:rsid w:val="04B713EA"/>
    <w:rsid w:val="063958E9"/>
    <w:rsid w:val="077649DB"/>
    <w:rsid w:val="0CC47EE3"/>
    <w:rsid w:val="0E2600BF"/>
    <w:rsid w:val="0E3746E5"/>
    <w:rsid w:val="0E8121F7"/>
    <w:rsid w:val="10324220"/>
    <w:rsid w:val="1C783934"/>
    <w:rsid w:val="1DF63C75"/>
    <w:rsid w:val="254E1F91"/>
    <w:rsid w:val="28A81905"/>
    <w:rsid w:val="2FFB1AFB"/>
    <w:rsid w:val="32561EF9"/>
    <w:rsid w:val="338B0A35"/>
    <w:rsid w:val="343216A0"/>
    <w:rsid w:val="38E71349"/>
    <w:rsid w:val="38E73381"/>
    <w:rsid w:val="3D8F4EB7"/>
    <w:rsid w:val="40F72D63"/>
    <w:rsid w:val="49BE399C"/>
    <w:rsid w:val="4BF477AF"/>
    <w:rsid w:val="4C1A7340"/>
    <w:rsid w:val="4F400FC2"/>
    <w:rsid w:val="4FA62E9D"/>
    <w:rsid w:val="514E6C8B"/>
    <w:rsid w:val="57B67676"/>
    <w:rsid w:val="5B0A62C6"/>
    <w:rsid w:val="5E3532DD"/>
    <w:rsid w:val="620755D6"/>
    <w:rsid w:val="63293771"/>
    <w:rsid w:val="640937ED"/>
    <w:rsid w:val="647221A5"/>
    <w:rsid w:val="69F8719C"/>
    <w:rsid w:val="6B873A2A"/>
    <w:rsid w:val="6BEA5A68"/>
    <w:rsid w:val="6D2F02EC"/>
    <w:rsid w:val="74D23F70"/>
    <w:rsid w:val="7575533B"/>
    <w:rsid w:val="798474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11"/>
    <w:qFormat/>
    <w:uiPriority w:val="0"/>
    <w:pPr>
      <w:keepNext/>
      <w:keepLines/>
      <w:spacing w:beforeLines="0" w:beforeAutospacing="0" w:afterLines="0" w:afterAutospacing="0" w:line="580" w:lineRule="exact"/>
      <w:ind w:firstLine="0" w:firstLineChars="0"/>
      <w:jc w:val="center"/>
      <w:outlineLvl w:val="0"/>
    </w:pPr>
    <w:rPr>
      <w:rFonts w:ascii="仿宋_GB2312" w:hAnsi="仿宋_GB2312" w:eastAsia="小标宋"/>
      <w:kern w:val="44"/>
      <w:sz w:val="44"/>
    </w:rPr>
  </w:style>
  <w:style w:type="paragraph" w:styleId="5">
    <w:name w:val="heading 2"/>
    <w:basedOn w:val="1"/>
    <w:next w:val="1"/>
    <w:semiHidden/>
    <w:unhideWhenUsed/>
    <w:qFormat/>
    <w:uiPriority w:val="0"/>
    <w:pPr>
      <w:keepNext/>
      <w:keepLines/>
      <w:spacing w:beforeLines="0" w:beforeAutospacing="0" w:afterLines="0" w:afterAutospacing="0" w:line="580" w:lineRule="exact"/>
      <w:ind w:firstLine="0" w:firstLineChars="0"/>
      <w:jc w:val="left"/>
      <w:outlineLvl w:val="1"/>
    </w:pPr>
    <w:rPr>
      <w:rFonts w:ascii="Times New Roman" w:hAnsi="Times New Roman" w:eastAsia="黑体"/>
    </w:rPr>
  </w:style>
  <w:style w:type="paragraph" w:styleId="6">
    <w:name w:val="heading 3"/>
    <w:basedOn w:val="1"/>
    <w:next w:val="1"/>
    <w:link w:val="12"/>
    <w:semiHidden/>
    <w:unhideWhenUsed/>
    <w:qFormat/>
    <w:uiPriority w:val="0"/>
    <w:pPr>
      <w:keepNext/>
      <w:keepLines/>
      <w:spacing w:beforeLines="0" w:beforeAutospacing="0" w:afterLines="0" w:afterAutospacing="0" w:line="580" w:lineRule="exact"/>
      <w:ind w:firstLine="0" w:firstLineChars="0"/>
      <w:outlineLvl w:val="2"/>
    </w:pPr>
    <w:rPr>
      <w:rFonts w:ascii="Times New Roman" w:hAnsi="Times New Roman" w:eastAsia="楷体_GB231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3"/>
    <w:link w:val="13"/>
    <w:qFormat/>
    <w:uiPriority w:val="0"/>
    <w:pPr>
      <w:spacing w:after="120" w:afterLines="0" w:afterAutospacing="0"/>
      <w:jc w:val="left"/>
    </w:pPr>
    <w:rPr>
      <w:rFonts w:ascii="Times New Roman" w:hAnsi="Times New Roman" w:cs="Times New Roman"/>
    </w:rPr>
  </w:style>
  <w:style w:type="paragraph" w:styleId="3">
    <w:name w:val="Body Text First Indent"/>
    <w:basedOn w:val="2"/>
    <w:next w:val="1"/>
    <w:qFormat/>
    <w:uiPriority w:val="0"/>
    <w:pPr>
      <w:ind w:firstLine="420" w:firstLineChars="100"/>
    </w:pPr>
  </w:style>
  <w:style w:type="paragraph" w:styleId="7">
    <w:name w:val="Normal (Web)"/>
    <w:basedOn w:val="1"/>
    <w:qFormat/>
    <w:uiPriority w:val="0"/>
    <w:pPr>
      <w:spacing w:before="100" w:beforeAutospacing="1" w:after="100" w:afterAutospacing="1"/>
      <w:jc w:val="left"/>
    </w:pPr>
    <w:rPr>
      <w:kern w:val="0"/>
      <w:sz w:val="24"/>
    </w:rPr>
  </w:style>
  <w:style w:type="paragraph" w:customStyle="1" w:styleId="10">
    <w:name w:val="主标题"/>
    <w:basedOn w:val="1"/>
    <w:qFormat/>
    <w:uiPriority w:val="0"/>
    <w:pPr>
      <w:overflowPunct w:val="0"/>
      <w:spacing w:line="580" w:lineRule="exact"/>
      <w:ind w:firstLine="0" w:firstLineChars="0"/>
      <w:jc w:val="center"/>
    </w:pPr>
    <w:rPr>
      <w:rFonts w:hint="eastAsia" w:ascii="方正小标宋简体" w:hAnsi="方正小标宋简体" w:eastAsia="小标宋" w:cs="方正小标宋简体"/>
      <w:sz w:val="44"/>
      <w:szCs w:val="44"/>
    </w:rPr>
  </w:style>
  <w:style w:type="character" w:customStyle="1" w:styleId="11">
    <w:name w:val="标题 1 Char"/>
    <w:link w:val="4"/>
    <w:qFormat/>
    <w:uiPriority w:val="0"/>
    <w:rPr>
      <w:rFonts w:ascii="仿宋_GB2312" w:hAnsi="仿宋_GB2312" w:eastAsia="小标宋" w:cstheme="minorBidi"/>
      <w:b/>
      <w:kern w:val="44"/>
      <w:sz w:val="32"/>
      <w:szCs w:val="22"/>
    </w:rPr>
  </w:style>
  <w:style w:type="character" w:customStyle="1" w:styleId="12">
    <w:name w:val="标题 3 Char"/>
    <w:link w:val="6"/>
    <w:qFormat/>
    <w:uiPriority w:val="0"/>
    <w:rPr>
      <w:rFonts w:hint="default" w:ascii="Times New Roman" w:hAnsi="Times New Roman" w:eastAsia="楷体_GB2312" w:cs="宋体"/>
      <w:bCs/>
      <w:kern w:val="0"/>
      <w:sz w:val="32"/>
      <w:szCs w:val="27"/>
      <w:lang w:val="en-US" w:eastAsia="zh-CN" w:bidi="ar"/>
    </w:rPr>
  </w:style>
  <w:style w:type="character" w:customStyle="1" w:styleId="13">
    <w:name w:val="正文文本 Char"/>
    <w:link w:val="2"/>
    <w:qFormat/>
    <w:uiPriority w:val="0"/>
    <w:rPr>
      <w:rFonts w:ascii="Times New Roman" w:hAnsi="Times New Roman" w:eastAsia="仿宋_GB2312" w:cs="Times New Roma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2023-12-07T11:28:00Z</dcterms:created>
  <dc:creator>夏天</dc:creator>
  <cp:lastModifiedBy>夏天</cp:lastModifiedBy>
  <dcterms:modified xsi:type="dcterms:W3CDTF">2023-12-08T15:34:57Z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A35B484B3B2B4118BDCC61F3DCF684FE_13</vt:lpwstr>
  </property>
</Properties>
</file>