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69" w:type="dxa"/>
        <w:tblInd w:w="0" w:type="dxa"/>
        <w:tblLayout w:type="fixed"/>
        <w:tblCellMar>
          <w:top w:w="0" w:type="dxa"/>
          <w:left w:w="108" w:type="dxa"/>
          <w:bottom w:w="0" w:type="dxa"/>
          <w:right w:w="108" w:type="dxa"/>
        </w:tblCellMar>
      </w:tblPr>
      <w:tblGrid>
        <w:gridCol w:w="1203"/>
        <w:gridCol w:w="1383"/>
        <w:gridCol w:w="3093"/>
        <w:gridCol w:w="1746"/>
        <w:gridCol w:w="2244"/>
      </w:tblGrid>
      <w:tr>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30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7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lang w:eastAsia="zh-CN"/>
              </w:rPr>
            </w:pPr>
            <w:r>
              <w:rPr>
                <w:rFonts w:hint="eastAsia" w:ascii="宋体" w:hAnsi="宋体" w:cs="宋体"/>
                <w:lang w:eastAsia="zh-CN"/>
              </w:rPr>
              <w:t>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lang w:eastAsia="zh-CN"/>
              </w:rPr>
            </w:pPr>
            <w:r>
              <w:rPr>
                <w:rFonts w:hint="eastAsia" w:ascii="宋体" w:hAnsi="宋体" w:cs="宋体"/>
                <w:lang w:eastAsia="zh-CN"/>
              </w:rPr>
              <w:t>备注</w:t>
            </w: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WYYYCGC-2023071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r>
              <w:rPr>
                <w:rFonts w:hint="eastAsia"/>
                <w:lang w:val="en-US" w:eastAsia="zh-CN"/>
              </w:rPr>
              <w:t>一次性皮肤组织活检器</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1"/>
              </w:numPr>
              <w:kinsoku/>
              <w:wordWrap/>
              <w:overflowPunct/>
              <w:topLinePunct w:val="0"/>
              <w:autoSpaceDE/>
              <w:autoSpaceDN/>
              <w:bidi w:val="0"/>
              <w:snapToGrid/>
              <w:spacing w:line="120" w:lineRule="auto"/>
              <w:ind w:left="0" w:leftChars="0" w:firstLine="0" w:firstLineChars="0"/>
              <w:jc w:val="left"/>
              <w:textAlignment w:val="auto"/>
              <w:rPr>
                <w:rFonts w:hint="eastAsia"/>
                <w:lang w:val="en-US" w:eastAsia="zh-CN"/>
              </w:rPr>
            </w:pPr>
            <w:r>
              <w:rPr>
                <w:rFonts w:hint="eastAsia"/>
                <w:lang w:val="en-US" w:eastAsia="zh-CN"/>
              </w:rPr>
              <w:t>结构及组成：由环钻头、手柄、活塞、弹簧等组成；</w:t>
            </w:r>
          </w:p>
          <w:p>
            <w:pPr>
              <w:pageBreakBefore w:val="0"/>
              <w:widowControl w:val="0"/>
              <w:numPr>
                <w:ilvl w:val="0"/>
                <w:numId w:val="1"/>
              </w:numPr>
              <w:kinsoku/>
              <w:wordWrap/>
              <w:overflowPunct/>
              <w:topLinePunct w:val="0"/>
              <w:autoSpaceDE/>
              <w:autoSpaceDN/>
              <w:bidi w:val="0"/>
              <w:snapToGrid/>
              <w:spacing w:line="120" w:lineRule="auto"/>
              <w:ind w:left="0" w:leftChars="0" w:firstLine="0" w:firstLineChars="0"/>
              <w:jc w:val="left"/>
              <w:textAlignment w:val="auto"/>
              <w:rPr>
                <w:rFonts w:hint="eastAsia"/>
                <w:lang w:val="en-US" w:eastAsia="zh-CN"/>
              </w:rPr>
            </w:pPr>
            <w:r>
              <w:rPr>
                <w:rFonts w:hint="eastAsia"/>
                <w:lang w:val="en-US" w:eastAsia="zh-CN"/>
              </w:rPr>
              <w:t>适用范围：适用于皮肤病变组织取样；</w:t>
            </w:r>
          </w:p>
          <w:p>
            <w:pPr>
              <w:pageBreakBefore w:val="0"/>
              <w:widowControl w:val="0"/>
              <w:numPr>
                <w:ilvl w:val="0"/>
                <w:numId w:val="1"/>
              </w:numPr>
              <w:kinsoku/>
              <w:wordWrap/>
              <w:overflowPunct/>
              <w:topLinePunct w:val="0"/>
              <w:autoSpaceDE/>
              <w:autoSpaceDN/>
              <w:bidi w:val="0"/>
              <w:snapToGrid/>
              <w:spacing w:line="120" w:lineRule="auto"/>
              <w:ind w:left="0" w:leftChars="0" w:firstLine="0" w:firstLineChars="0"/>
              <w:jc w:val="left"/>
              <w:textAlignment w:val="auto"/>
              <w:rPr>
                <w:rFonts w:hint="default"/>
                <w:lang w:val="en-US" w:eastAsia="zh-CN"/>
              </w:rPr>
            </w:pPr>
            <w:r>
              <w:rPr>
                <w:rFonts w:hint="eastAsia"/>
                <w:lang w:val="en-US" w:eastAsia="zh-CN"/>
              </w:rPr>
              <w:t>其他要求：灭菌提供，一次性使用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default" w:asciiTheme="minorEastAsia" w:hAnsiTheme="minorEastAsia" w:eastAsiaTheme="minorEastAsia" w:cstheme="minorEastAsia"/>
                <w:sz w:val="18"/>
                <w:szCs w:val="18"/>
                <w:lang w:val="en-US" w:eastAsia="zh-CN"/>
              </w:rPr>
              <w:t>WYYYCGC-2023072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lang w:val="en-US" w:eastAsia="zh-CN"/>
              </w:rPr>
              <w:t>一次性使用外周血管内冲击波导管（Shockwave）</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1、结构及组成：由球囊、导管轴、导管座、充盈端口、导丝出口、连接器和脉冲发射器等组成；</w:t>
            </w:r>
          </w:p>
          <w:p>
            <w:pPr>
              <w:pageBreakBefore w:val="0"/>
              <w:widowControl w:val="0"/>
              <w:numPr>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2、适用范围：与血管内冲击波治疗设备配合，对成人患者髂动脉、股动脉、髂股动脉、腘动脉和膝下动脉的钙化病变（血管狭窄程度≥50%）进行预处理及球囊扩张；</w:t>
            </w:r>
          </w:p>
          <w:p>
            <w:pPr>
              <w:pageBreakBefore w:val="0"/>
              <w:widowControl w:val="0"/>
              <w:numPr>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3、其他要求：一次性使用，灭菌提供</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default" w:asciiTheme="minorEastAsia" w:hAnsiTheme="minorEastAsia" w:eastAsiaTheme="minorEastAsia" w:cstheme="minorEastAsia"/>
                <w:sz w:val="18"/>
                <w:szCs w:val="18"/>
                <w:lang w:val="en-US" w:eastAsia="zh-CN"/>
              </w:rPr>
              <w:t>WYYYCGC-2023039</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一次性使用多通道单孔腹腔镜手术穿刺器</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1、结构组成：由切口保护套、穿刺通道和密封体等组成；                       2、适用范围：供单孔腔镜手术中内窥镜和手术器械等进出切口；                       3、其他要求：灭菌提供，一次性使用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eastAsia" w:ascii="宋体" w:hAnsi="宋体" w:cs="宋体"/>
                <w:highlight w:val="none"/>
                <w:lang w:val="en-US" w:eastAsia="zh-CN"/>
              </w:rPr>
              <w:t>WYYYCGC-2024001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液体敷料</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 xml:space="preserve">1、结构组成：由氧化电解水，氟硅酸镁钠，磷酸钠和氯化钠，次氯酸、次氯酸钠等组成；                       2、适用范围：用于感染的慢性创面及手术切口，控制并治疗感染创面，对抗各类耐药菌株及细菌生物膜；                       </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highlight w:val="none"/>
                <w:lang w:val="en-US" w:eastAsia="zh-CN"/>
              </w:rPr>
              <w:t>WYYYCGC-2024002/01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双腔微导管</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eastAsia"/>
                <w:lang w:val="en-US" w:eastAsia="zh-CN"/>
              </w:rPr>
            </w:pPr>
            <w:r>
              <w:rPr>
                <w:rFonts w:hint="eastAsia"/>
                <w:lang w:val="en-US" w:eastAsia="zh-CN"/>
              </w:rPr>
              <w:t>1、结构及组成：由头端、管身、保护套管、管座等组成</w:t>
            </w:r>
          </w:p>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eastAsia"/>
                <w:lang w:val="en-US" w:eastAsia="zh-CN"/>
              </w:rPr>
            </w:pPr>
            <w:r>
              <w:rPr>
                <w:rFonts w:hint="eastAsia"/>
                <w:lang w:val="en-US" w:eastAsia="zh-CN"/>
              </w:rPr>
              <w:t>2、适用范围：冠脉介入手术中，导丝在血管内部通过困难时，确保导丝通过部位所需部位</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3、其他要求：灭菌提供，一次性使用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WYYYCGC-2024002/02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经导管主动脉瓣膜系统</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eastAsia"/>
                <w:lang w:val="en-US" w:eastAsia="zh-CN"/>
              </w:rPr>
            </w:pPr>
            <w:r>
              <w:rPr>
                <w:rFonts w:hint="eastAsia"/>
                <w:lang w:val="en-US" w:eastAsia="zh-CN"/>
              </w:rPr>
              <w:t>1、结构及组成：由经导管主动脉瓣膜、输送系统、导管鞘套件、经股动脉球囊导管、瓣膜预置装置等组成；</w:t>
            </w:r>
          </w:p>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eastAsia"/>
                <w:lang w:val="en-US" w:eastAsia="zh-CN"/>
              </w:rPr>
            </w:pPr>
            <w:r>
              <w:rPr>
                <w:rFonts w:hint="eastAsia"/>
                <w:lang w:val="en-US" w:eastAsia="zh-CN"/>
              </w:rPr>
              <w:t>2、适用范围：适用于进行经导管主动脉置换治疗的有症状的钙化性重度主动脉瓣狭窄的患者；</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3、</w:t>
            </w:r>
            <w:r>
              <w:rPr>
                <w:rFonts w:hint="eastAsia" w:ascii="Times New Roman" w:hAnsi="Times New Roman" w:eastAsia="宋体" w:cs="Times New Roman"/>
                <w:b w:val="0"/>
                <w:snapToGrid/>
                <w:kern w:val="2"/>
                <w:sz w:val="21"/>
                <w:szCs w:val="24"/>
                <w:lang w:val="en-US" w:eastAsia="zh-CN" w:bidi="ar-SA"/>
              </w:rPr>
              <w:t>其他要求：灭菌提供，一次性使用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2665"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lang w:val="en-US" w:eastAsia="zh-CN" w:bidi="ar-SA"/>
              </w:rPr>
            </w:pPr>
            <w:r>
              <w:rPr>
                <w:rFonts w:hint="default" w:asciiTheme="minorEastAsia" w:hAnsiTheme="minorEastAsia" w:eastAsiaTheme="minorEastAsia" w:cstheme="minorEastAsia"/>
                <w:sz w:val="18"/>
                <w:szCs w:val="18"/>
                <w:lang w:val="en-US" w:eastAsia="zh-CN"/>
              </w:rPr>
              <w:t>WYYYCGC-2024003</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开颅钻头</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2"/>
              </w:numPr>
              <w:kinsoku/>
              <w:wordWrap/>
              <w:overflowPunct/>
              <w:topLinePunct w:val="0"/>
              <w:autoSpaceDE/>
              <w:autoSpaceDN/>
              <w:bidi w:val="0"/>
              <w:snapToGrid/>
              <w:spacing w:line="120" w:lineRule="auto"/>
              <w:ind w:leftChars="0"/>
              <w:jc w:val="left"/>
              <w:textAlignment w:val="auto"/>
              <w:rPr>
                <w:rFonts w:hint="default"/>
                <w:lang w:val="en-US" w:eastAsia="zh-CN"/>
              </w:rPr>
            </w:pPr>
            <w:r>
              <w:rPr>
                <w:rFonts w:hint="eastAsia"/>
                <w:lang w:val="en-US" w:eastAsia="zh-CN"/>
              </w:rPr>
              <w:t>结构及组成：由内钻头、外钻头、离合机构、接口等组成；</w:t>
            </w:r>
          </w:p>
          <w:p>
            <w:pPr>
              <w:pStyle w:val="2"/>
              <w:jc w:val="both"/>
              <w:rPr>
                <w:rFonts w:hint="eastAsia" w:ascii="Times New Roman" w:hAnsi="Times New Roman" w:eastAsia="黑体" w:cs="Times New Roman"/>
                <w:b/>
                <w:snapToGrid/>
                <w:kern w:val="44"/>
                <w:sz w:val="36"/>
                <w:szCs w:val="24"/>
                <w:lang w:val="en-US" w:eastAsia="zh-CN" w:bidi="ar-SA"/>
              </w:rPr>
            </w:pPr>
            <w:r>
              <w:rPr>
                <w:rFonts w:hint="eastAsia" w:ascii="Times New Roman" w:hAnsi="Times New Roman" w:eastAsia="宋体" w:cs="Times New Roman"/>
                <w:b w:val="0"/>
                <w:snapToGrid/>
                <w:kern w:val="2"/>
                <w:sz w:val="21"/>
                <w:szCs w:val="24"/>
                <w:lang w:val="en-US" w:eastAsia="zh-CN" w:bidi="ar-SA"/>
              </w:rPr>
              <w:t>2、</w:t>
            </w:r>
            <w:r>
              <w:rPr>
                <w:rFonts w:hint="eastAsia" w:eastAsia="宋体" w:cs="Times New Roman"/>
                <w:b w:val="0"/>
                <w:snapToGrid/>
                <w:kern w:val="2"/>
                <w:sz w:val="21"/>
                <w:szCs w:val="24"/>
                <w:lang w:val="en-US" w:eastAsia="zh-CN" w:bidi="ar-SA"/>
              </w:rPr>
              <w:t>适用范围：适配于重庆西山DK-N-MS</w:t>
            </w:r>
            <w:r>
              <w:rPr>
                <w:rFonts w:hint="eastAsia" w:ascii="Times New Roman" w:hAnsi="Times New Roman" w:eastAsia="宋体" w:cs="Times New Roman"/>
                <w:b w:val="0"/>
                <w:snapToGrid/>
                <w:kern w:val="2"/>
                <w:sz w:val="21"/>
                <w:szCs w:val="24"/>
                <w:lang w:val="en-US" w:eastAsia="zh-CN" w:bidi="ar-SA"/>
              </w:rPr>
              <w:t>手术动力装置；具有机械式钻穿即停功能。</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633"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eastAsia" w:ascii="宋体" w:hAnsi="宋体" w:cs="宋体"/>
                <w:highlight w:val="none"/>
                <w:lang w:val="en-US" w:eastAsia="zh-CN"/>
              </w:rPr>
              <w:t>WYYYCGC-2024004/01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白血病相关15种融合基因检测试剂盒（RT-PCR法）</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default" w:eastAsia="微软雅黑"/>
                <w:lang w:val="en-US" w:eastAsia="zh-CN"/>
              </w:rPr>
            </w:pPr>
            <w:r>
              <w:rPr>
                <w:rFonts w:hint="eastAsia"/>
                <w:lang w:val="en-US" w:eastAsia="zh-CN"/>
              </w:rPr>
              <w:t>1、结构及组成：由逆转录试剂、核酸扩增试剂、对照品等组成；</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2、适用范围：用于体外定性检测急性髓系白血病(AML)、急性淋巴细胞白血病(ALL)、以及其他混合表型白血病和前期诊断未明确分型的白血病患者骨髓样本中的BCR-ABL、SIL-TAL1、E2A-HLF、TEL-AML1、MLL-AF4、E2A-PBX1、AML1-ETO、MLL-AF9、PML-RARα、MLL-AF6 、MLL-AF10、MLL-ELL、MLL-ENL、CBFβ-MYH11和DEK-CAN共15种白血病相关融合基因；</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WYYYCGC-2024004/02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静脉输液过滤器</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3"/>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结构及组成：由止流夹、鲁尔接头、壳体、药液滤膜、空气滤膜、保护帽、Y型注药口等组成；</w:t>
            </w:r>
          </w:p>
          <w:p>
            <w:pPr>
              <w:pageBreakBefore w:val="0"/>
              <w:widowControl w:val="0"/>
              <w:numPr>
                <w:ilvl w:val="0"/>
                <w:numId w:val="3"/>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适用范围：用于过滤静脉输注液体中可能携入的空气、颗粒碎片、微生物污染物和内毒素；</w:t>
            </w:r>
          </w:p>
          <w:p>
            <w:pPr>
              <w:pageBreakBefore w:val="0"/>
              <w:widowControl w:val="0"/>
              <w:numPr>
                <w:ilvl w:val="0"/>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0.2µm滤膜，可持续使用96小时；</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3、灭菌提供、一次</w:t>
            </w:r>
            <w:bookmarkStart w:id="0" w:name="_GoBack"/>
            <w:bookmarkEnd w:id="0"/>
            <w:r>
              <w:rPr>
                <w:rFonts w:hint="eastAsia"/>
                <w:lang w:val="en-US" w:eastAsia="zh-CN"/>
              </w:rPr>
              <w:t>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88A3E"/>
    <w:multiLevelType w:val="singleLevel"/>
    <w:tmpl w:val="B9A88A3E"/>
    <w:lvl w:ilvl="0" w:tentative="0">
      <w:start w:val="1"/>
      <w:numFmt w:val="decimal"/>
      <w:suff w:val="nothing"/>
      <w:lvlText w:val="%1、"/>
      <w:lvlJc w:val="left"/>
    </w:lvl>
  </w:abstractNum>
  <w:abstractNum w:abstractNumId="1">
    <w:nsid w:val="5592E5F4"/>
    <w:multiLevelType w:val="singleLevel"/>
    <w:tmpl w:val="5592E5F4"/>
    <w:lvl w:ilvl="0" w:tentative="0">
      <w:start w:val="1"/>
      <w:numFmt w:val="decimal"/>
      <w:suff w:val="nothing"/>
      <w:lvlText w:val="%1、"/>
      <w:lvlJc w:val="left"/>
    </w:lvl>
  </w:abstractNum>
  <w:abstractNum w:abstractNumId="2">
    <w:nsid w:val="593BB84D"/>
    <w:multiLevelType w:val="singleLevel"/>
    <w:tmpl w:val="593BB84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2JjOGVmZTc4NGM3YTc5N2E2ZmZlMDE2NzZjYTcifQ=="/>
  </w:docVars>
  <w:rsids>
    <w:rsidRoot w:val="30FD242B"/>
    <w:rsid w:val="06EA3869"/>
    <w:rsid w:val="1A1F0E4F"/>
    <w:rsid w:val="1EE14925"/>
    <w:rsid w:val="1F120F82"/>
    <w:rsid w:val="238166D6"/>
    <w:rsid w:val="30FD242B"/>
    <w:rsid w:val="6E13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2024-01-15T03:29:00Z</dcterms:created>
  <dc:creator>...</dc:creator>
  <cp:lastModifiedBy>...</cp:lastModifiedBy>
  <dcterms:modified xsi:type="dcterms:W3CDTF">2024-01-15T06:05:56Z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3A7EB5CA1CA344D9B06F2CE4345216D9_11</vt:lpwstr>
  </property>
</Properties>
</file>