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采购项目概况：A群轮状病毒、腺病毒、诺如病毒抗原检测试剂盒项目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WYYYCGC-2024006/01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A群轮状病毒、腺病毒、诺如病毒抗原检测试剂盒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响应情况（有“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”备注的技术参数必须响应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.▲用于人粪便样本中的A群轮状病毒、腺病毒、诺如病毒抗原</w:t>
            </w:r>
            <w:r>
              <w:rPr>
                <w:rFonts w:hint="eastAsia" w:ascii="宋体" w:hAnsi="宋体" w:cs="宋体"/>
                <w:lang w:eastAsia="zh-CN"/>
              </w:rPr>
              <w:t>的</w:t>
            </w:r>
            <w:r>
              <w:rPr>
                <w:rFonts w:hint="eastAsia" w:ascii="宋体" w:hAnsi="宋体" w:cs="宋体"/>
              </w:rPr>
              <w:t>定性检测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▲</w:t>
            </w:r>
            <w:r>
              <w:rPr>
                <w:rFonts w:hint="eastAsia" w:ascii="宋体" w:hAnsi="宋体" w:cs="宋体"/>
                <w:lang w:val="en-US" w:eastAsia="zh-CN"/>
              </w:rPr>
              <w:t>试剂产品为</w:t>
            </w:r>
            <w:r>
              <w:rPr>
                <w:rFonts w:hint="eastAsia" w:ascii="宋体" w:hAnsi="宋体" w:cs="宋体"/>
              </w:rPr>
              <w:t>A群轮状病毒、腺病毒、诺如病毒抗原</w:t>
            </w:r>
            <w:r>
              <w:rPr>
                <w:rFonts w:hint="eastAsia" w:ascii="宋体" w:hAnsi="宋体" w:cs="宋体"/>
                <w:lang w:eastAsia="zh-CN"/>
              </w:rPr>
              <w:t>三联检试剂盒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.组成成分包含检测试剂卡和样本采集管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.▲检测方法为乳胶层析法</w:t>
            </w:r>
            <w:r>
              <w:rPr>
                <w:rFonts w:hint="eastAsia"/>
              </w:rPr>
              <w:t>或胶体金法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存储条件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  <w:r>
              <w:rPr>
                <w:rFonts w:hint="eastAsia" w:ascii="宋体" w:hAnsi="宋体" w:cs="宋体"/>
              </w:rPr>
              <w:t>需</w:t>
            </w:r>
            <w:r>
              <w:rPr>
                <w:rFonts w:hint="eastAsia" w:ascii="宋体" w:hAnsi="宋体" w:cs="宋体"/>
                <w:lang w:eastAsia="zh-CN"/>
              </w:rPr>
              <w:t>常温</w:t>
            </w:r>
            <w:r>
              <w:rPr>
                <w:rFonts w:hint="eastAsia" w:ascii="宋体" w:hAnsi="宋体" w:cs="宋体"/>
              </w:rPr>
              <w:t>保存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.自生产之日起，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hint="eastAsia" w:ascii="宋体" w:hAnsi="宋体" w:cs="宋体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</w:rPr>
              <w:t>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.分析特异性：轮状病毒、腺病毒、诺如病毒抗原阳性样本间无交叉反应（需在说明书里注明，提供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</w:rPr>
              <w:t>.干扰试验：血红蛋白≤0.5mg/ml，甘油三酯≤40mg/ml，肠道黏蛋白≤0.8mg/ml不产生干扰（需在说明书里注明，提供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</w:rPr>
              <w:t>HOOK效应：轮状病毒、腺病毒滴度≤1.2</w:t>
            </w:r>
            <w:r>
              <w:rPr>
                <w:rFonts w:hint="eastAsia" w:ascii="微软雅黑" w:hAnsi="微软雅黑" w:eastAsia="微软雅黑" w:cs="宋体"/>
              </w:rPr>
              <w:t>╳</w:t>
            </w:r>
            <w:r>
              <w:rPr>
                <w:rFonts w:hint="eastAsia" w:ascii="宋体" w:hAnsi="宋体" w:cs="宋体"/>
              </w:rPr>
              <w:t>10</w:t>
            </w:r>
            <w:r>
              <w:rPr>
                <w:rFonts w:hint="eastAsia" w:ascii="宋体" w:hAnsi="宋体" w:cs="宋体"/>
                <w:vertAlign w:val="superscript"/>
              </w:rPr>
              <w:t>5</w:t>
            </w:r>
            <w:r>
              <w:rPr>
                <w:rFonts w:hint="eastAsia" w:ascii="宋体" w:hAnsi="宋体" w:cs="宋体"/>
              </w:rPr>
              <w:t>TCID50/ml，诺如病毒抗原滴度1:100未见HOOK效应（需在说明书里注明，提供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.▲试剂需具备三类医疗器械注册证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0B785658"/>
    <w:rsid w:val="0B785658"/>
    <w:rsid w:val="17B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2024-04-11T07:41:00Z</dcterms:created>
  <dc:creator>章铭</dc:creator>
  <cp:lastModifiedBy>章铭</cp:lastModifiedBy>
  <dcterms:modified xsi:type="dcterms:W3CDTF">2024-04-11T08:13:33Z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3A1A0BEF2A7C45A089836B3770C897AD_11</vt:lpwstr>
  </property>
</Properties>
</file>