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20"/>
        <w:jc w:val="left"/>
        <w:rPr>
          <w:rFonts w:hint="default" w:ascii="宋体" w:hAnsi="宋体" w:cs="宋体"/>
          <w:highlight w:val="yellow"/>
          <w:lang w:val="en-US" w:eastAsia="zh-CN"/>
        </w:rPr>
      </w:pPr>
      <w:r>
        <w:rPr>
          <w:rFonts w:hint="eastAsia" w:ascii="宋体" w:hAnsi="宋体" w:cs="宋体"/>
          <w:highlight w:val="yellow"/>
          <w:lang w:val="en-US" w:eastAsia="zh-CN"/>
        </w:rPr>
        <w:t>1.采购项目概况：青光眼引流阀项目</w:t>
      </w:r>
    </w:p>
    <w:tbl>
      <w:tblPr>
        <w:tblStyle w:val="2"/>
        <w:tblW w:w="0" w:type="auto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2"/>
        <w:gridCol w:w="4313"/>
      </w:tblGrid>
      <w:tr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/标段编号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WYYYCGC-2024016/01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  <w:highlight w:val="none"/>
              </w:rPr>
              <w:t>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青光眼引流阀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制造商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产品型号规格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产品要求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响应情况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临床适用性：适</w:t>
            </w: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用于控制难治性青光眼眼压、排泄眼内房水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2.组成部分：包含导管及盛盘两个部分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3.主要材质：硅橡胶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4.产品需为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一次性使用产品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5.产品应当单个产品独立包装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▲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产品应具备灭菌包装，提供具体灭菌方式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独特性：限制性房水引流物，阀门生物相容性更佳，可有效减轻术后炎症反应和降低滤过泡瘢痕化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8.样品配置：需提供样品，样品于采购公示结束后7日内日取回，逾期视为放弃，不予保管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spacing w:line="360" w:lineRule="auto"/>
        <w:ind w:firstLine="420"/>
        <w:jc w:val="left"/>
        <w:rPr>
          <w:rFonts w:hint="eastAsia" w:ascii="宋体" w:hAnsi="宋体" w:cs="宋体"/>
          <w:highlight w:val="yellow"/>
          <w:lang w:val="en-US" w:eastAsia="zh-CN"/>
        </w:rPr>
      </w:pPr>
    </w:p>
    <w:p>
      <w:pPr>
        <w:widowControl/>
        <w:spacing w:line="360" w:lineRule="auto"/>
        <w:ind w:firstLine="420"/>
        <w:jc w:val="left"/>
        <w:rPr>
          <w:rFonts w:hint="default" w:ascii="宋体" w:hAnsi="宋体" w:cs="宋体"/>
          <w:highlight w:val="yellow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highlight w:val="yellow"/>
          <w:lang w:val="en-US" w:eastAsia="zh-CN"/>
        </w:rPr>
        <w:t>2.采购项目概况：折叠式人工玻璃体球囊项目</w:t>
      </w:r>
    </w:p>
    <w:tbl>
      <w:tblPr>
        <w:tblStyle w:val="2"/>
        <w:tblW w:w="0" w:type="auto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2"/>
        <w:gridCol w:w="4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/标段编号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WYYYCGC-2024017/01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  <w:highlight w:val="none"/>
              </w:rPr>
              <w:t>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折叠式人工玻璃体球囊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制造商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产品型号规格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产品要求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响应情况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临床适用性：通过球囊折叠放入玻璃体腔后，透过引流阀向球囊内注入硅油恢复眼压，支撑视网膜和眼球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2.组成部分：包含球囊、引流管和引流阀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3.材质：硅橡胶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4.产品需为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一次性使用产品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5.产品应当单个产品独立包装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▲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产品应具备灭菌包装，提供具体灭菌方式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7.外观设计：透光率</w:t>
            </w: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≧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90%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8.▲独特性：模拟人自然玻璃体腔形状设计固体的折叠式人工玻璃体球囊，实现顶压视网膜的长期稳定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9.样品配置：需提供样品，样品于采购公示结束后7日内日取回，逾期视为放弃，不予保管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0DE41CF2"/>
    <w:rsid w:val="0DE4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2024-04-24T01:25:00Z</dcterms:created>
  <dc:creator>章铭</dc:creator>
  <cp:lastModifiedBy>章铭</cp:lastModifiedBy>
  <dcterms:modified xsi:type="dcterms:W3CDTF">2024-04-24T01:26:56Z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0F7DAA15B92A4B1B80F1EA752F38E241_11</vt:lpwstr>
  </property>
</Properties>
</file>