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20"/>
        <w:jc w:val="left"/>
        <w:rPr>
          <w:rFonts w:hint="default" w:ascii="宋体" w:hAnsi="宋体" w:cs="宋体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highlight w:val="none"/>
          <w:lang w:val="en-US" w:eastAsia="zh-CN"/>
        </w:rPr>
        <w:t>采购项目概况：p16/ki-67双染检测试剂盒项目</w:t>
      </w:r>
    </w:p>
    <w:tbl>
      <w:tblPr>
        <w:tblStyle w:val="3"/>
        <w:tblW w:w="8311" w:type="dxa"/>
        <w:tblInd w:w="4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171"/>
        <w:gridCol w:w="3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exact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宋体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2024022/01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p16/ki-67双染检测试剂盒</w:t>
            </w:r>
          </w:p>
        </w:tc>
        <w:tc>
          <w:tcPr>
            <w:tcW w:w="3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1.组成部分:包含P16 /Ki67抗体、DAB浓缩显色液、DAB底物缓冲液、Fast Red浓缩显色液、Fast Red底物缓冲液等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2.检测方法：免疫细胞化学法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3.存储条件：存储范围为-25℃到30℃；自生产之日起，试剂有效期≥9个月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4.适用范围：用于细胞免疫组化染色双染，为医师提供诊断的辅助信息</w:t>
            </w:r>
          </w:p>
          <w:p>
            <w:pPr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5.其他要求：主试剂需具备医疗器械注册证；按需提供配套耗材、辅助试剂和第三方质控品，价格包含在主试剂中；按需提供配套仪器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21F667DD"/>
    <w:rsid w:val="21F6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2024-06-17T07:24:00Z</dcterms:created>
  <dc:creator>章铭</dc:creator>
  <cp:lastModifiedBy>章铭</cp:lastModifiedBy>
  <dcterms:modified xsi:type="dcterms:W3CDTF">2024-06-17T07:24:39Z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D54E62C1D0EC489E86ABA9368F6C52D5_11</vt:lpwstr>
  </property>
</Properties>
</file>