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301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696"/>
        <w:gridCol w:w="4288"/>
        <w:gridCol w:w="1884"/>
      </w:tblGrid>
      <w:tr w14:paraId="167C8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CEE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lang w:val="en-US" w:eastAsia="zh-CN"/>
              </w:rPr>
              <w:t>/标段编号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D240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4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F197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</w:rPr>
              <w:t>要求</w:t>
            </w:r>
          </w:p>
        </w:tc>
        <w:tc>
          <w:tcPr>
            <w:tcW w:w="1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D068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规格</w:t>
            </w:r>
          </w:p>
        </w:tc>
      </w:tr>
      <w:tr w14:paraId="4BA61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5" w:hRule="exac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7ACB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WYYYCGC-2024039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/01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34074D">
            <w:pPr>
              <w:bidi w:val="0"/>
              <w:rPr>
                <w:rFonts w:hint="eastAsia"/>
                <w:lang w:val="en-US" w:eastAsia="zh-CN"/>
              </w:rPr>
            </w:pPr>
            <w:bookmarkStart w:id="0" w:name="_GoBack"/>
            <w:r>
              <w:rPr>
                <w:rFonts w:hint="eastAsia"/>
                <w:color w:val="auto"/>
                <w:highlight w:val="none"/>
                <w:lang w:val="en-US" w:eastAsia="zh-CN"/>
              </w:rPr>
              <w:t>富血小板血浆制备装置及配套设备</w:t>
            </w:r>
            <w:bookmarkEnd w:id="0"/>
          </w:p>
        </w:tc>
        <w:tc>
          <w:tcPr>
            <w:tcW w:w="4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D64FA0">
            <w:pPr>
              <w:numPr>
                <w:ilvl w:val="0"/>
                <w:numId w:val="1"/>
              </w:num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适用范围：本产品从人体血样中制备自体富血小板血浆（PRP）</w:t>
            </w:r>
          </w:p>
          <w:p w14:paraId="0A771839"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2、组成部分：包含血样分离装置、注射针等</w:t>
            </w:r>
          </w:p>
          <w:p w14:paraId="6F70E89E"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3、制备方法：通过离心方式制备富血小板血浆</w:t>
            </w:r>
          </w:p>
          <w:p w14:paraId="196AC684"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4、技术要求：富血小板血浆富集前后的血小板含量之比应不小于3倍；单次富血小板血浆制备量应不少于3ml；血小板回收率应不小于75%；单次制备所需离心时间应不高于20分钟；单次制备所需采血量范围不超过50ml</w:t>
            </w:r>
          </w:p>
          <w:p w14:paraId="6DD79249"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5、灭菌要求：需灭菌提供</w:t>
            </w:r>
          </w:p>
          <w:p w14:paraId="4837B6BA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6、其他要求：</w:t>
            </w: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产品需具备三类注册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证；按需</w:t>
            </w: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提供配套离心机</w:t>
            </w:r>
          </w:p>
        </w:tc>
        <w:tc>
          <w:tcPr>
            <w:tcW w:w="1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FA3EE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各规格</w:t>
            </w:r>
          </w:p>
        </w:tc>
      </w:tr>
    </w:tbl>
    <w:p w14:paraId="2F9565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A1B773"/>
    <w:multiLevelType w:val="singleLevel"/>
    <w:tmpl w:val="00A1B77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2OGI5YzA1MzRiNjNiNjBkOTAzOWFjYThmYmFhMmMifQ=="/>
  </w:docVars>
  <w:rsids>
    <w:rsidRoot w:val="7D7A28DD"/>
    <w:rsid w:val="7D7A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2024-11-04T08:26:00Z</dcterms:created>
  <dc:creator>章铭</dc:creator>
  <cp:lastModifiedBy>章铭</cp:lastModifiedBy>
  <dcterms:modified xsi:type="dcterms:W3CDTF">2024-11-04T08:26:43Z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1026EC4CCF614E259EE8D25CB05FAAA9_11</vt:lpwstr>
  </property>
</Properties>
</file>