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32"/>
        <w:gridCol w:w="1151"/>
      </w:tblGrid>
      <w:tr w14:paraId="5FC8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77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38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4E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48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43E4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20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WYYYCGC-2025038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6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血液冻存袋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2D47D">
            <w:pPr>
              <w:numPr>
                <w:ilvl w:val="0"/>
                <w:numId w:val="1"/>
              </w:numPr>
              <w:bidi w:val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适用范围：该产品适用于冷冻储存血液。</w:t>
            </w:r>
          </w:p>
          <w:p w14:paraId="3F52A51D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结构组成：该产品由袋体、血液样本灌注管路、冻存液灌注管路、血液样本输出端口、护帽等组成；血液样本灌注管路附带活动夹。</w:t>
            </w:r>
          </w:p>
          <w:p w14:paraId="45D56E50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袋体由</w:t>
            </w:r>
            <w:r>
              <w:rPr>
                <w:rFonts w:hint="eastAsia"/>
                <w:vertAlign w:val="baseline"/>
                <w:lang w:val="en-US" w:eastAsia="zh-CN"/>
              </w:rPr>
              <w:t>乙烯</w:t>
            </w:r>
            <w:r>
              <w:rPr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vertAlign w:val="baseline"/>
                <w:lang w:val="en-US" w:eastAsia="zh-CN"/>
              </w:rPr>
              <w:t>醋酸乙烯共聚物（</w:t>
            </w:r>
            <w:r>
              <w:rPr>
                <w:rFonts w:hint="default"/>
                <w:vertAlign w:val="baseline"/>
                <w:lang w:val="en-US" w:eastAsia="zh-CN"/>
              </w:rPr>
              <w:t>EVA</w:t>
            </w:r>
            <w:r>
              <w:rPr>
                <w:rFonts w:hint="eastAsia"/>
                <w:vertAlign w:val="baseline"/>
                <w:lang w:val="en-US" w:eastAsia="zh-CN"/>
              </w:rPr>
              <w:t>）制成。</w:t>
            </w:r>
          </w:p>
          <w:p w14:paraId="5A40BFB6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袋体附带标签袋，标签袋与袋体为一体结构。</w:t>
            </w:r>
          </w:p>
          <w:p w14:paraId="57BD3035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投标产品规格中应包含袋体标称体积为50ml、250ml的。</w:t>
            </w:r>
          </w:p>
          <w:p w14:paraId="705D47B1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250ml袋体的</w:t>
            </w:r>
            <w:r>
              <w:rPr>
                <w:rFonts w:hint="eastAsia"/>
                <w:vertAlign w:val="baseline"/>
                <w:lang w:eastAsia="zh-CN"/>
              </w:rPr>
              <w:t>填充容积（最小</w:t>
            </w:r>
            <w:r>
              <w:rPr>
                <w:rFonts w:hint="eastAsia"/>
                <w:vertAlign w:val="baseline"/>
                <w:lang w:val="en-US" w:eastAsia="zh-CN"/>
              </w:rPr>
              <w:t>-最大</w:t>
            </w:r>
            <w:r>
              <w:rPr>
                <w:rFonts w:hint="eastAsia"/>
                <w:vertAlign w:val="baseline"/>
                <w:lang w:eastAsia="zh-CN"/>
              </w:rPr>
              <w:t>）满足</w:t>
            </w:r>
            <w:r>
              <w:rPr>
                <w:rFonts w:hint="eastAsia"/>
                <w:vertAlign w:val="baseline"/>
                <w:lang w:val="en-US" w:eastAsia="zh-CN"/>
              </w:rPr>
              <w:t>30ml-70ml。</w:t>
            </w:r>
          </w:p>
          <w:p w14:paraId="2259FAE6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50ml袋体的</w:t>
            </w:r>
            <w:r>
              <w:rPr>
                <w:rFonts w:hint="eastAsia"/>
                <w:vertAlign w:val="baseline"/>
                <w:lang w:eastAsia="zh-CN"/>
              </w:rPr>
              <w:t>填充容积（最小</w:t>
            </w:r>
            <w:r>
              <w:rPr>
                <w:rFonts w:hint="eastAsia"/>
                <w:vertAlign w:val="baseline"/>
                <w:lang w:val="en-US" w:eastAsia="zh-CN"/>
              </w:rPr>
              <w:t>-最大</w:t>
            </w:r>
            <w:r>
              <w:rPr>
                <w:rFonts w:hint="eastAsia"/>
                <w:vertAlign w:val="baseline"/>
                <w:lang w:eastAsia="zh-CN"/>
              </w:rPr>
              <w:t>）满足</w:t>
            </w:r>
            <w:r>
              <w:rPr>
                <w:rFonts w:hint="eastAsia"/>
                <w:vertAlign w:val="baseline"/>
                <w:lang w:val="en-US" w:eastAsia="zh-CN"/>
              </w:rPr>
              <w:t>10ml-30ml。</w:t>
            </w:r>
          </w:p>
          <w:p w14:paraId="4587B8A1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产品灭菌提供。</w:t>
            </w:r>
          </w:p>
          <w:p w14:paraId="3A18A7AB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袋体可在液氮环境中保存。</w:t>
            </w:r>
          </w:p>
          <w:p w14:paraId="42F14705">
            <w:pPr>
              <w:numPr>
                <w:ilvl w:val="0"/>
                <w:numId w:val="1"/>
              </w:numPr>
              <w:bidi w:val="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可通过37℃-40℃的恒温水浴解冻袋体。</w:t>
            </w:r>
          </w:p>
          <w:p w14:paraId="0E552432">
            <w:pPr>
              <w:numPr>
                <w:ilvl w:val="0"/>
                <w:numId w:val="1"/>
              </w:num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冷冻储存时间大于3年。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0A19A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41CA005A">
      <w:r>
        <w:br w:type="page"/>
      </w:r>
    </w:p>
    <w:tbl>
      <w:tblPr>
        <w:tblStyle w:val="3"/>
        <w:tblW w:w="8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193"/>
        <w:gridCol w:w="1390"/>
      </w:tblGrid>
      <w:tr w14:paraId="3F3F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61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CE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C4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D6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31AA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7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WYYYCGC-2025063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D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冠状动脉分流栓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B589"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适用范围：冠状动脉吻合术时，在吻合口处分流血液，提供暂时无血的手术视野。</w:t>
            </w:r>
          </w:p>
          <w:p w14:paraId="337A84B1"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结构组成：该产品由分流管、线、标签等组成。分流管为中空结构，两端为凸起的球囊形状，线连接分流管及标签。</w:t>
            </w:r>
          </w:p>
          <w:p w14:paraId="5A25A282"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分流管由非硬质材料制成。</w:t>
            </w:r>
          </w:p>
          <w:p w14:paraId="448F17C8"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该产品可用于微创搭桥手术。</w:t>
            </w:r>
          </w:p>
          <w:p w14:paraId="312347CD"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标签不透射线。</w:t>
            </w:r>
          </w:p>
          <w:p w14:paraId="7419F608"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投标产品中，球囊外径范围应涵盖1mm-2.5mm。</w:t>
            </w:r>
          </w:p>
          <w:p w14:paraId="5D32A873">
            <w:pPr>
              <w:numPr>
                <w:ilvl w:val="0"/>
                <w:numId w:val="2"/>
              </w:numPr>
              <w:tabs>
                <w:tab w:val="center" w:pos="2211"/>
              </w:tabs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投标产品中，分流管的总长度不小于15mm。</w:t>
            </w:r>
          </w:p>
          <w:p w14:paraId="34D99F32"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产品灭菌提供。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A3061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22938D8F">
      <w:r>
        <w:br w:type="page"/>
      </w:r>
    </w:p>
    <w:tbl>
      <w:tblPr>
        <w:tblStyle w:val="3"/>
        <w:tblW w:w="8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193"/>
        <w:gridCol w:w="1390"/>
      </w:tblGrid>
      <w:tr w14:paraId="35744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F2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5C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6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D2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77978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F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WYYYCGC-2025064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A5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临时心脏起搏导线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776C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适用范围：该产品与临时心脏起搏器配套使用，用于心脏外科手术时临时心脏起搏或感知。</w:t>
            </w:r>
          </w:p>
          <w:p w14:paraId="02C3C685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结构组成：该产品由直针、导线、弯针组成。</w:t>
            </w:r>
          </w:p>
          <w:p w14:paraId="19423158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导线两端带针，其中一端与心肌连接，另一端与临时起搏装置连接。</w:t>
            </w:r>
          </w:p>
          <w:p w14:paraId="5C466895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导线附带绝缘涂层。</w:t>
            </w:r>
          </w:p>
          <w:p w14:paraId="575A48C7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可短期植入。</w:t>
            </w:r>
          </w:p>
          <w:p w14:paraId="00C21E8F">
            <w:pPr>
              <w:numPr>
                <w:ilvl w:val="0"/>
                <w:numId w:val="3"/>
              </w:num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产品灭菌提供。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5845E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06B44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B69FC"/>
    <w:multiLevelType w:val="singleLevel"/>
    <w:tmpl w:val="EE7B69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8C3A8D"/>
    <w:multiLevelType w:val="singleLevel"/>
    <w:tmpl w:val="188C3A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0E9B33"/>
    <w:multiLevelType w:val="singleLevel"/>
    <w:tmpl w:val="5A0E9B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D53E7"/>
    <w:rsid w:val="30410476"/>
    <w:rsid w:val="562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889</Characters>
  <Lines>0</Lines>
  <Paragraphs>0</Paragraphs>
  <TotalTime>0</TotalTime>
  <ScaleCrop>false</ScaleCrop>
  <LinksUpToDate>false</LinksUpToDate>
  <CharactersWithSpaces>889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2025-09-19T02:17:00Z</dcterms:created>
  <dc:creator>余康远</dc:creator>
  <cp:lastModifiedBy>余康远</cp:lastModifiedBy>
  <dcterms:modified xsi:type="dcterms:W3CDTF">2025-09-23T07:09:29Z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C233B459DD5C4DB0BF58BBEEAEECFDB8_11</vt:lpwstr>
  </property>
  <property fmtid="{D5CDD505-2E9C-101B-9397-08002B2CF9AE}" pid="4" name="KSOTemplateDocerSaveRecord">
    <vt:lpwstr>eyJoZGlkIjoiMzBkMjU5OWFlOTFmYjZlMzBlNmY4NTA0ZTY3ZTZiZmUiLCJ1c2VySWQiOiI2MDQwNDc2NjMifQ==</vt:lpwstr>
  </property>
</Properties>
</file>